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65682ds8.htm"/>
      <w:bookmarkStart w:id="1" w:name="ksd165682ds8"/>
      <w:bookmarkEnd w:id="0"/>
      <w:bookmarkEnd w:id="1"/>
      <w:r>
        <w:rPr>
          <w:rFonts w:ascii="Times New Roman" w:hAnsi="Times New Roman"/>
          <w:b/>
          <w:sz w:val="20"/>
        </w:rPr>
        <w:t xml:space="preserve">As filed with the Securities and Exchange Commission on July 28,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S-8</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Sarepta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93-0797222</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215 First Street, Suite 415 </w:t>
      </w:r>
    </w:p>
    <w:p>
      <w:pPr>
        <w:pStyle w:val="TextBody"/>
        <w:bidi w:val="0"/>
        <w:spacing w:before="0" w:after="0"/>
        <w:jc w:val="center"/>
        <w:rPr>
          <w:rFonts w:ascii="Times New Roman" w:hAnsi="Times New Roman"/>
          <w:b/>
          <w:sz w:val="20"/>
        </w:rPr>
      </w:pPr>
      <w:r>
        <w:rPr>
          <w:rFonts w:ascii="Times New Roman" w:hAnsi="Times New Roman"/>
          <w:b/>
          <w:sz w:val="20"/>
        </w:rPr>
        <w:t xml:space="preserve">Cambridge, Massachusetts 02142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Sarepta Therapeutics, Inc. 2024 Employment Commencement Incentive Plan, as amended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240" w:after="0"/>
        <w:jc w:val="center"/>
        <w:rPr>
          <w:rFonts w:ascii="Times New Roman" w:hAnsi="Times New Roman"/>
          <w:b/>
          <w:sz w:val="20"/>
        </w:rPr>
      </w:pPr>
      <w:r>
        <w:rPr>
          <w:rFonts w:ascii="Times New Roman" w:hAnsi="Times New Roman"/>
          <w:b/>
          <w:sz w:val="20"/>
        </w:rPr>
        <w:t xml:space="preserve">Michael Severino, M.D.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Sarepta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215 First Street, Suite 415 </w:t>
      </w:r>
    </w:p>
    <w:p>
      <w:pPr>
        <w:pStyle w:val="TextBody"/>
        <w:bidi w:val="0"/>
        <w:spacing w:before="0" w:after="0"/>
        <w:jc w:val="center"/>
        <w:rPr>
          <w:rFonts w:ascii="Times New Roman" w:hAnsi="Times New Roman"/>
          <w:b/>
          <w:sz w:val="20"/>
        </w:rPr>
      </w:pPr>
      <w:r>
        <w:rPr>
          <w:rFonts w:ascii="Times New Roman" w:hAnsi="Times New Roman"/>
          <w:b/>
          <w:sz w:val="20"/>
        </w:rPr>
        <w:t xml:space="preserve">Cambridge, Massachusetts 02142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address of agent for service) </w:t>
      </w:r>
    </w:p>
    <w:p>
      <w:pPr>
        <w:pStyle w:val="TextBody"/>
        <w:bidi w:val="0"/>
        <w:spacing w:before="240" w:after="0"/>
        <w:jc w:val="center"/>
        <w:rPr>
          <w:rFonts w:ascii="Times New Roman" w:hAnsi="Times New Roman"/>
          <w:b/>
          <w:sz w:val="20"/>
        </w:rPr>
      </w:pPr>
      <w:r>
        <w:rPr>
          <w:rFonts w:ascii="Times New Roman" w:hAnsi="Times New Roman"/>
          <w:b/>
          <w:sz w:val="20"/>
        </w:rPr>
        <w:t>(617) 274-4000</w:t>
      </w:r>
    </w:p>
    <w:p>
      <w:pPr>
        <w:pStyle w:val="TextBody"/>
        <w:bidi w:val="0"/>
        <w:spacing w:before="0" w:after="0"/>
        <w:jc w:val="center"/>
        <w:rPr>
          <w:rFonts w:ascii="Times New Roman" w:hAnsi="Times New Roman"/>
          <w:b/>
          <w:sz w:val="16"/>
        </w:rPr>
      </w:pPr>
      <w:r>
        <w:rPr>
          <w:rFonts w:ascii="Times New Roman" w:hAnsi="Times New Roman"/>
          <w:b/>
          <w:sz w:val="16"/>
        </w:rPr>
        <w:t xml:space="preserve">(Telephone number, including area code, of agent for service)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center"/>
        <w:rPr>
          <w:rFonts w:ascii="Times New Roman" w:hAnsi="Times New Roman"/>
          <w:b/>
          <w:sz w:val="20"/>
        </w:rPr>
      </w:pPr>
      <w:r>
        <w:rPr>
          <w:rFonts w:ascii="Times New Roman" w:hAnsi="Times New Roman"/>
          <w:b/>
          <w:sz w:val="20"/>
        </w:rPr>
        <w:t xml:space="preserve">Paul M. Kinsella </w:t>
      </w:r>
    </w:p>
    <w:p>
      <w:pPr>
        <w:pStyle w:val="TextBody"/>
        <w:bidi w:val="0"/>
        <w:spacing w:before="0" w:after="0"/>
        <w:jc w:val="center"/>
        <w:rPr>
          <w:rFonts w:ascii="Times New Roman" w:hAnsi="Times New Roman"/>
          <w:b/>
          <w:sz w:val="20"/>
        </w:rPr>
      </w:pPr>
      <w:r>
        <w:rPr>
          <w:rFonts w:ascii="Times New Roman" w:hAnsi="Times New Roman"/>
          <w:b/>
          <w:sz w:val="20"/>
        </w:rPr>
        <w:t xml:space="preserve">William J. Michener </w:t>
      </w:r>
    </w:p>
    <w:p>
      <w:pPr>
        <w:pStyle w:val="TextBody"/>
        <w:bidi w:val="0"/>
        <w:spacing w:before="0" w:after="0"/>
        <w:jc w:val="center"/>
        <w:rPr>
          <w:rFonts w:ascii="Times New Roman" w:hAnsi="Times New Roman"/>
          <w:b/>
          <w:sz w:val="20"/>
        </w:rPr>
      </w:pPr>
      <w:r>
        <w:rPr>
          <w:rFonts w:ascii="Times New Roman" w:hAnsi="Times New Roman"/>
          <w:b/>
          <w:sz w:val="20"/>
        </w:rPr>
        <w:t xml:space="preserve">Ropes &amp; Gray LLP </w:t>
      </w:r>
    </w:p>
    <w:p>
      <w:pPr>
        <w:pStyle w:val="TextBody"/>
        <w:bidi w:val="0"/>
        <w:spacing w:before="0" w:after="0"/>
        <w:jc w:val="center"/>
        <w:rPr>
          <w:rFonts w:ascii="Times New Roman" w:hAnsi="Times New Roman"/>
          <w:b/>
          <w:sz w:val="20"/>
        </w:rPr>
      </w:pPr>
      <w:r>
        <w:rPr>
          <w:rFonts w:ascii="Times New Roman" w:hAnsi="Times New Roman"/>
          <w:b/>
          <w:sz w:val="20"/>
        </w:rPr>
        <w:t xml:space="preserve">Prudential Tower </w:t>
      </w:r>
    </w:p>
    <w:p>
      <w:pPr>
        <w:pStyle w:val="TextBody"/>
        <w:bidi w:val="0"/>
        <w:spacing w:before="0" w:after="0"/>
        <w:jc w:val="center"/>
        <w:rPr>
          <w:rFonts w:ascii="Times New Roman" w:hAnsi="Times New Roman"/>
          <w:b/>
          <w:sz w:val="20"/>
        </w:rPr>
      </w:pPr>
      <w:r>
        <w:rPr>
          <w:rFonts w:ascii="Times New Roman" w:hAnsi="Times New Roman"/>
          <w:b/>
          <w:sz w:val="20"/>
        </w:rPr>
        <w:t xml:space="preserve">800 Boylston Street </w:t>
      </w:r>
    </w:p>
    <w:p>
      <w:pPr>
        <w:pStyle w:val="TextBody"/>
        <w:bidi w:val="0"/>
        <w:spacing w:before="0" w:after="0"/>
        <w:jc w:val="center"/>
        <w:rPr>
          <w:rFonts w:ascii="Times New Roman" w:hAnsi="Times New Roman"/>
          <w:b/>
          <w:sz w:val="20"/>
        </w:rPr>
      </w:pPr>
      <w:r>
        <w:rPr>
          <w:rFonts w:ascii="Times New Roman" w:hAnsi="Times New Roman"/>
          <w:b/>
          <w:sz w:val="20"/>
        </w:rPr>
        <w:t xml:space="preserve">Boston, Massachusetts 02199 </w:t>
      </w:r>
    </w:p>
    <w:p>
      <w:pPr>
        <w:pStyle w:val="TextBody"/>
        <w:bidi w:val="0"/>
        <w:spacing w:before="0" w:after="0"/>
        <w:jc w:val="center"/>
        <w:rPr>
          <w:rFonts w:ascii="Times New Roman" w:hAnsi="Times New Roman"/>
          <w:b/>
          <w:sz w:val="20"/>
        </w:rPr>
      </w:pPr>
      <w:r>
        <w:rPr>
          <w:rFonts w:ascii="Times New Roman" w:hAnsi="Times New Roman"/>
          <w:b/>
          <w:sz w:val="20"/>
        </w:rPr>
        <w:t>(617) 951-7000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pPr>
      <w:r>
        <w:rPr>
          <w:rFonts w:ascii="Times New Roman" w:hAnsi="Times New Roman"/>
          <w:sz w:val="20"/>
        </w:rPr>
        <w:t>This Registration Statement on Form S-8 (this “Registration Statement”) is filed to register an additional 2,500,000 shares of common stock, par value $0.0001 per share, of Sarepta Therapeutics, Inc. (the “Registrant”) for issuance under the Registrant’s 2024 Employment Commencement Incentive Plan, as amended. This Registration Statement is filed in accordance with General Instruction E to Form S-8 regarding registration of additional securities of the same class, and, pursuant to such instruction, the contents of Form S-8 Registration Statement (File No. </w:t>
      </w:r>
      <w:hyperlink r:id="rId2">
        <w:r>
          <w:rPr>
            <w:rStyle w:val="InternetLink"/>
            <w:rFonts w:ascii="Times New Roman" w:hAnsi="Times New Roman"/>
            <w:sz w:val="20"/>
          </w:rPr>
          <w:t>333-281334</w:t>
        </w:r>
      </w:hyperlink>
      <w:r>
        <w:rPr>
          <w:rFonts w:ascii="Times New Roman" w:hAnsi="Times New Roman"/>
          <w:sz w:val="20"/>
        </w:rPr>
        <w:t xml:space="preserve">) filed with the Securities and Exchange Commission on August 7, 2024 and the contents of the Post-Effective Amendment No.  1 to Form S-8 Registration Statement (File Nos. </w:t>
      </w:r>
      <w:hyperlink r:id="rId3">
        <w:r>
          <w:rPr>
            <w:rStyle w:val="InternetLink"/>
            <w:rFonts w:ascii="Times New Roman" w:hAnsi="Times New Roman"/>
            <w:sz w:val="20"/>
          </w:rPr>
          <w:t>333-240996</w:t>
        </w:r>
      </w:hyperlink>
      <w:r>
        <w:rPr>
          <w:rFonts w:ascii="Times New Roman" w:hAnsi="Times New Roman"/>
          <w:sz w:val="20"/>
        </w:rPr>
        <w:t xml:space="preserve">, </w:t>
      </w:r>
      <w:hyperlink r:id="rId4">
        <w:r>
          <w:rPr>
            <w:rStyle w:val="InternetLink"/>
            <w:rFonts w:ascii="Times New Roman" w:hAnsi="Times New Roman"/>
            <w:sz w:val="20"/>
          </w:rPr>
          <w:t>333-228719</w:t>
        </w:r>
      </w:hyperlink>
      <w:r>
        <w:rPr>
          <w:rFonts w:ascii="Times New Roman" w:hAnsi="Times New Roman"/>
          <w:sz w:val="20"/>
        </w:rPr>
        <w:t xml:space="preserve">, </w:t>
      </w:r>
      <w:hyperlink r:id="rId5">
        <w:r>
          <w:rPr>
            <w:rStyle w:val="InternetLink"/>
            <w:rFonts w:ascii="Times New Roman" w:hAnsi="Times New Roman"/>
            <w:sz w:val="20"/>
          </w:rPr>
          <w:t>333-221271</w:t>
        </w:r>
      </w:hyperlink>
      <w:r>
        <w:rPr>
          <w:rFonts w:ascii="Times New Roman" w:hAnsi="Times New Roman"/>
          <w:sz w:val="20"/>
        </w:rPr>
        <w:t xml:space="preserve"> and </w:t>
      </w:r>
      <w:hyperlink r:id="rId6">
        <w:r>
          <w:rPr>
            <w:rStyle w:val="InternetLink"/>
            <w:rFonts w:ascii="Times New Roman" w:hAnsi="Times New Roman"/>
            <w:sz w:val="20"/>
          </w:rPr>
          <w:t>333-209710</w:t>
        </w:r>
      </w:hyperlink>
      <w:r>
        <w:rPr>
          <w:rFonts w:ascii="Times New Roman" w:hAnsi="Times New Roman"/>
          <w:sz w:val="20"/>
        </w:rPr>
        <w:t xml:space="preserve">) filed with the Securities and Exchange Commission on March 28, 2024, each relating to the Registrant’s 2024 Employment Commencement Incentive Plan, except to the extent supplemented, amended or superseded by the information set forth herein, are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4"/>
        <w:gridCol w:w="329"/>
        <w:gridCol w:w="5241"/>
        <w:gridCol w:w="211"/>
        <w:gridCol w:w="739"/>
        <w:gridCol w:w="211"/>
        <w:gridCol w:w="773"/>
        <w:gridCol w:w="211"/>
        <w:gridCol w:w="645"/>
        <w:gridCol w:w="211"/>
        <w:gridCol w:w="990"/>
      </w:tblGrid>
      <w:tr>
        <w:trPr/>
        <w:tc>
          <w:tcPr>
            <w:tcW w:w="644"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5241"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644"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524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3780" w:type="dxa"/>
            <w:gridSpan w:val="7"/>
            <w:tcBorders/>
            <w:vAlign w:val="bottom"/>
          </w:tcPr>
          <w:p>
            <w:pPr>
              <w:pStyle w:val="TableContents"/>
              <w:bidi w:val="0"/>
              <w:spacing w:before="0" w:after="283"/>
              <w:jc w:val="center"/>
              <w:rPr>
                <w:b/>
              </w:rPr>
            </w:pPr>
            <w:r>
              <w:rPr>
                <w:b/>
              </w:rPr>
              <w:t>Incorporated by Reference to Filings</w:t>
              <w:br/>
              <w:t>Indicated</w:t>
            </w:r>
          </w:p>
        </w:tc>
      </w:tr>
      <w:tr>
        <w:trPr/>
        <w:tc>
          <w:tcPr>
            <w:tcW w:w="644"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329" w:type="dxa"/>
            <w:tcBorders/>
            <w:vAlign w:val="bottom"/>
          </w:tcPr>
          <w:p>
            <w:pPr>
              <w:pStyle w:val="TableContents"/>
              <w:bidi w:val="0"/>
              <w:spacing w:before="0" w:after="283"/>
              <w:jc w:val="left"/>
              <w:rPr/>
            </w:pPr>
            <w:r>
              <w:rPr/>
              <w:t>  </w:t>
            </w:r>
          </w:p>
        </w:tc>
        <w:tc>
          <w:tcPr>
            <w:tcW w:w="5241" w:type="dxa"/>
            <w:tcBorders/>
            <w:vAlign w:val="bottom"/>
          </w:tcPr>
          <w:p>
            <w:pPr>
              <w:pStyle w:val="TableContents"/>
              <w:bidi w:val="0"/>
              <w:spacing w:before="0" w:after="283"/>
              <w:jc w:val="center"/>
              <w:rPr>
                <w:b/>
              </w:rPr>
            </w:pPr>
            <w:r>
              <w:rPr>
                <w:b/>
              </w:rPr>
              <w:t>Description</w:t>
            </w:r>
          </w:p>
        </w:tc>
        <w:tc>
          <w:tcPr>
            <w:tcW w:w="21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center"/>
              <w:rPr>
                <w:b/>
              </w:rPr>
            </w:pPr>
            <w:r>
              <w:rPr>
                <w:b/>
              </w:rPr>
              <w:t>Form</w:t>
            </w:r>
          </w:p>
        </w:tc>
        <w:tc>
          <w:tcPr>
            <w:tcW w:w="211"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center"/>
              <w:rPr>
                <w:b/>
              </w:rPr>
            </w:pPr>
            <w:r>
              <w:rPr>
                <w:b/>
              </w:rPr>
              <w:t>Exhibit</w:t>
            </w:r>
          </w:p>
        </w:tc>
        <w:tc>
          <w:tcPr>
            <w:tcW w:w="211"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center"/>
              <w:rPr>
                <w:b/>
              </w:rPr>
            </w:pPr>
            <w:r>
              <w:rPr>
                <w:b/>
              </w:rPr>
              <w:t>Filing</w:t>
              <w:br/>
              <w:t>Date</w:t>
            </w:r>
          </w:p>
        </w:tc>
        <w:tc>
          <w:tcPr>
            <w:tcW w:w="211"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center"/>
              <w:rPr>
                <w:b/>
              </w:rPr>
            </w:pPr>
            <w:r>
              <w:rPr>
                <w:b/>
              </w:rPr>
              <w:t>Provided</w:t>
              <w:br/>
              <w:t>Herewith</w:t>
            </w:r>
          </w:p>
        </w:tc>
      </w:tr>
      <w:tr>
        <w:trPr>
          <w:trHeight w:val="120" w:hRule="atLeast"/>
        </w:trPr>
        <w:tc>
          <w:tcPr>
            <w:tcW w:w="644" w:type="dxa"/>
            <w:tcBorders/>
            <w:vAlign w:val="center"/>
          </w:tcPr>
          <w:p>
            <w:pPr>
              <w:pStyle w:val="TableContents"/>
              <w:bidi w:val="0"/>
              <w:spacing w:before="0" w:after="283"/>
              <w:jc w:val="left"/>
              <w:rPr>
                <w:sz w:val="4"/>
                <w:szCs w:val="4"/>
              </w:rPr>
            </w:pPr>
            <w:r>
              <w:rPr>
                <w:sz w:val="4"/>
                <w:szCs w:val="4"/>
              </w:rPr>
            </w:r>
          </w:p>
        </w:tc>
        <w:tc>
          <w:tcPr>
            <w:tcW w:w="557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984" w:type="dxa"/>
            <w:gridSpan w:val="2"/>
            <w:tcBorders/>
            <w:vAlign w:val="center"/>
          </w:tcPr>
          <w:p>
            <w:pPr>
              <w:pStyle w:val="TableContents"/>
              <w:bidi w:val="0"/>
              <w:spacing w:before="0" w:after="283"/>
              <w:jc w:val="left"/>
              <w:rPr>
                <w:sz w:val="4"/>
                <w:szCs w:val="4"/>
              </w:rPr>
            </w:pPr>
            <w:r>
              <w:rPr>
                <w:sz w:val="4"/>
                <w:szCs w:val="4"/>
              </w:rPr>
            </w:r>
          </w:p>
        </w:tc>
        <w:tc>
          <w:tcPr>
            <w:tcW w:w="856" w:type="dxa"/>
            <w:gridSpan w:val="2"/>
            <w:tcBorders/>
            <w:vAlign w:val="center"/>
          </w:tcPr>
          <w:p>
            <w:pPr>
              <w:pStyle w:val="TableContents"/>
              <w:bidi w:val="0"/>
              <w:spacing w:before="0" w:after="283"/>
              <w:jc w:val="left"/>
              <w:rPr>
                <w:sz w:val="4"/>
                <w:szCs w:val="4"/>
              </w:rPr>
            </w:pPr>
            <w:r>
              <w:rPr>
                <w:sz w:val="4"/>
                <w:szCs w:val="4"/>
              </w:rPr>
            </w:r>
          </w:p>
        </w:tc>
        <w:tc>
          <w:tcPr>
            <w:tcW w:w="1201" w:type="dxa"/>
            <w:gridSpan w:val="2"/>
            <w:tcBorders/>
            <w:vAlign w:val="center"/>
          </w:tcPr>
          <w:p>
            <w:pPr>
              <w:pStyle w:val="TableContents"/>
              <w:bidi w:val="0"/>
              <w:spacing w:before="0" w:after="283"/>
              <w:jc w:val="left"/>
              <w:rPr>
                <w:sz w:val="4"/>
                <w:szCs w:val="4"/>
              </w:rPr>
            </w:pPr>
            <w:r>
              <w:rPr>
                <w:sz w:val="4"/>
                <w:szCs w:val="4"/>
              </w:rPr>
            </w:r>
          </w:p>
        </w:tc>
      </w:tr>
      <w:tr>
        <w:trPr/>
        <w:tc>
          <w:tcPr>
            <w:tcW w:w="644" w:type="dxa"/>
            <w:tcBorders/>
          </w:tcPr>
          <w:p>
            <w:pPr>
              <w:pStyle w:val="TableContents"/>
              <w:bidi w:val="0"/>
              <w:spacing w:before="0" w:after="283"/>
              <w:jc w:val="left"/>
              <w:rPr/>
            </w:pPr>
            <w:r>
              <w:rPr/>
              <w:t>4.1</w:t>
            </w:r>
          </w:p>
        </w:tc>
        <w:tc>
          <w:tcPr>
            <w:tcW w:w="329" w:type="dxa"/>
            <w:tcBorders/>
            <w:vAlign w:val="bottom"/>
          </w:tcPr>
          <w:p>
            <w:pPr>
              <w:pStyle w:val="TableContents"/>
              <w:bidi w:val="0"/>
              <w:spacing w:before="0" w:after="283"/>
              <w:jc w:val="left"/>
              <w:rPr/>
            </w:pPr>
            <w:r>
              <w:rPr/>
              <w:t>  </w:t>
            </w:r>
          </w:p>
        </w:tc>
        <w:tc>
          <w:tcPr>
            <w:tcW w:w="5241" w:type="dxa"/>
            <w:tcBorders/>
          </w:tcPr>
          <w:p>
            <w:pPr>
              <w:pStyle w:val="TableContents"/>
              <w:bidi w:val="0"/>
              <w:spacing w:before="0" w:after="283"/>
              <w:jc w:val="left"/>
              <w:rPr/>
            </w:pPr>
            <w:hyperlink r:id="rId7">
              <w:r>
                <w:rPr>
                  <w:rStyle w:val="InternetLink"/>
                </w:rPr>
                <w:t xml:space="preserve">Sarepta Therapeutics, Inc. 2024 Employment Commencement Incentive Plan </w:t>
              </w:r>
            </w:hyperlink>
          </w:p>
        </w:tc>
        <w:tc>
          <w:tcPr>
            <w:tcW w:w="21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center"/>
              <w:rPr/>
            </w:pPr>
            <w:r>
              <w:rPr/>
              <w:t>S-8 POS</w:t>
            </w:r>
          </w:p>
        </w:tc>
        <w:tc>
          <w:tcPr>
            <w:tcW w:w="211"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center"/>
              <w:rPr/>
            </w:pPr>
            <w:r>
              <w:rPr/>
              <w:t>4.5</w:t>
            </w:r>
          </w:p>
        </w:tc>
        <w:tc>
          <w:tcPr>
            <w:tcW w:w="211"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center"/>
              <w:rPr/>
            </w:pPr>
            <w:r>
              <w:rPr/>
              <w:t>3/28/24</w:t>
            </w:r>
          </w:p>
        </w:tc>
        <w:tc>
          <w:tcPr>
            <w:tcW w:w="211"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44" w:type="dxa"/>
            <w:tcBorders/>
            <w:vAlign w:val="center"/>
          </w:tcPr>
          <w:p>
            <w:pPr>
              <w:pStyle w:val="TableContents"/>
              <w:bidi w:val="0"/>
              <w:spacing w:before="0" w:after="283"/>
              <w:jc w:val="left"/>
              <w:rPr>
                <w:sz w:val="4"/>
                <w:szCs w:val="4"/>
              </w:rPr>
            </w:pPr>
            <w:r>
              <w:rPr>
                <w:sz w:val="4"/>
                <w:szCs w:val="4"/>
              </w:rPr>
            </w:r>
          </w:p>
        </w:tc>
        <w:tc>
          <w:tcPr>
            <w:tcW w:w="557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984" w:type="dxa"/>
            <w:gridSpan w:val="2"/>
            <w:tcBorders/>
            <w:vAlign w:val="center"/>
          </w:tcPr>
          <w:p>
            <w:pPr>
              <w:pStyle w:val="TableContents"/>
              <w:bidi w:val="0"/>
              <w:spacing w:before="0" w:after="283"/>
              <w:jc w:val="left"/>
              <w:rPr>
                <w:sz w:val="4"/>
                <w:szCs w:val="4"/>
              </w:rPr>
            </w:pPr>
            <w:r>
              <w:rPr>
                <w:sz w:val="4"/>
                <w:szCs w:val="4"/>
              </w:rPr>
            </w:r>
          </w:p>
        </w:tc>
        <w:tc>
          <w:tcPr>
            <w:tcW w:w="856" w:type="dxa"/>
            <w:gridSpan w:val="2"/>
            <w:tcBorders/>
            <w:vAlign w:val="center"/>
          </w:tcPr>
          <w:p>
            <w:pPr>
              <w:pStyle w:val="TableContents"/>
              <w:bidi w:val="0"/>
              <w:spacing w:before="0" w:after="283"/>
              <w:jc w:val="left"/>
              <w:rPr>
                <w:sz w:val="4"/>
                <w:szCs w:val="4"/>
              </w:rPr>
            </w:pPr>
            <w:r>
              <w:rPr>
                <w:sz w:val="4"/>
                <w:szCs w:val="4"/>
              </w:rPr>
            </w:r>
          </w:p>
        </w:tc>
        <w:tc>
          <w:tcPr>
            <w:tcW w:w="1201" w:type="dxa"/>
            <w:gridSpan w:val="2"/>
            <w:tcBorders/>
            <w:vAlign w:val="center"/>
          </w:tcPr>
          <w:p>
            <w:pPr>
              <w:pStyle w:val="TableContents"/>
              <w:bidi w:val="0"/>
              <w:spacing w:before="0" w:after="283"/>
              <w:jc w:val="left"/>
              <w:rPr>
                <w:sz w:val="4"/>
                <w:szCs w:val="4"/>
              </w:rPr>
            </w:pPr>
            <w:r>
              <w:rPr>
                <w:sz w:val="4"/>
                <w:szCs w:val="4"/>
              </w:rPr>
            </w:r>
          </w:p>
        </w:tc>
      </w:tr>
      <w:tr>
        <w:trPr/>
        <w:tc>
          <w:tcPr>
            <w:tcW w:w="644" w:type="dxa"/>
            <w:tcBorders/>
          </w:tcPr>
          <w:p>
            <w:pPr>
              <w:pStyle w:val="TableContents"/>
              <w:bidi w:val="0"/>
              <w:spacing w:before="0" w:after="283"/>
              <w:jc w:val="left"/>
              <w:rPr/>
            </w:pPr>
            <w:r>
              <w:rPr/>
              <w:t>4.2</w:t>
            </w:r>
          </w:p>
        </w:tc>
        <w:tc>
          <w:tcPr>
            <w:tcW w:w="329" w:type="dxa"/>
            <w:tcBorders/>
            <w:vAlign w:val="bottom"/>
          </w:tcPr>
          <w:p>
            <w:pPr>
              <w:pStyle w:val="TableContents"/>
              <w:bidi w:val="0"/>
              <w:spacing w:before="0" w:after="283"/>
              <w:jc w:val="left"/>
              <w:rPr/>
            </w:pPr>
            <w:r>
              <w:rPr/>
              <w:t>  </w:t>
            </w:r>
          </w:p>
        </w:tc>
        <w:tc>
          <w:tcPr>
            <w:tcW w:w="5241" w:type="dxa"/>
            <w:tcBorders/>
          </w:tcPr>
          <w:p>
            <w:pPr>
              <w:pStyle w:val="TableContents"/>
              <w:bidi w:val="0"/>
              <w:spacing w:before="0" w:after="283"/>
              <w:jc w:val="left"/>
              <w:rPr/>
            </w:pPr>
            <w:hyperlink r:id="rId8">
              <w:r>
                <w:rPr>
                  <w:rStyle w:val="InternetLink"/>
                </w:rPr>
                <w:t xml:space="preserve">Amendment No. 1 to the Sarepta Therapeutics, Inc. 2024 Employment Commencement Incentive Plan </w:t>
              </w:r>
            </w:hyperlink>
          </w:p>
        </w:tc>
        <w:tc>
          <w:tcPr>
            <w:tcW w:w="21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center"/>
              <w:rPr/>
            </w:pPr>
            <w:r>
              <w:rPr/>
              <w:t>8-K</w:t>
            </w:r>
          </w:p>
        </w:tc>
        <w:tc>
          <w:tcPr>
            <w:tcW w:w="211"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center"/>
              <w:rPr/>
            </w:pPr>
            <w:r>
              <w:rPr/>
              <w:t>10.1</w:t>
            </w:r>
          </w:p>
        </w:tc>
        <w:tc>
          <w:tcPr>
            <w:tcW w:w="211"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center"/>
              <w:rPr/>
            </w:pPr>
            <w:r>
              <w:rPr/>
              <w:t>6/7/24</w:t>
            </w:r>
          </w:p>
        </w:tc>
        <w:tc>
          <w:tcPr>
            <w:tcW w:w="211"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44" w:type="dxa"/>
            <w:tcBorders/>
            <w:vAlign w:val="center"/>
          </w:tcPr>
          <w:p>
            <w:pPr>
              <w:pStyle w:val="TableContents"/>
              <w:bidi w:val="0"/>
              <w:spacing w:before="0" w:after="283"/>
              <w:jc w:val="left"/>
              <w:rPr>
                <w:sz w:val="4"/>
                <w:szCs w:val="4"/>
              </w:rPr>
            </w:pPr>
            <w:r>
              <w:rPr>
                <w:sz w:val="4"/>
                <w:szCs w:val="4"/>
              </w:rPr>
            </w:r>
          </w:p>
        </w:tc>
        <w:tc>
          <w:tcPr>
            <w:tcW w:w="557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984" w:type="dxa"/>
            <w:gridSpan w:val="2"/>
            <w:tcBorders/>
            <w:vAlign w:val="center"/>
          </w:tcPr>
          <w:p>
            <w:pPr>
              <w:pStyle w:val="TableContents"/>
              <w:bidi w:val="0"/>
              <w:spacing w:before="0" w:after="283"/>
              <w:jc w:val="left"/>
              <w:rPr>
                <w:sz w:val="4"/>
                <w:szCs w:val="4"/>
              </w:rPr>
            </w:pPr>
            <w:r>
              <w:rPr>
                <w:sz w:val="4"/>
                <w:szCs w:val="4"/>
              </w:rPr>
            </w:r>
          </w:p>
        </w:tc>
        <w:tc>
          <w:tcPr>
            <w:tcW w:w="856" w:type="dxa"/>
            <w:gridSpan w:val="2"/>
            <w:tcBorders/>
            <w:vAlign w:val="center"/>
          </w:tcPr>
          <w:p>
            <w:pPr>
              <w:pStyle w:val="TableContents"/>
              <w:bidi w:val="0"/>
              <w:spacing w:before="0" w:after="283"/>
              <w:jc w:val="left"/>
              <w:rPr>
                <w:sz w:val="4"/>
                <w:szCs w:val="4"/>
              </w:rPr>
            </w:pPr>
            <w:r>
              <w:rPr>
                <w:sz w:val="4"/>
                <w:szCs w:val="4"/>
              </w:rPr>
            </w:r>
          </w:p>
        </w:tc>
        <w:tc>
          <w:tcPr>
            <w:tcW w:w="1201" w:type="dxa"/>
            <w:gridSpan w:val="2"/>
            <w:tcBorders/>
            <w:vAlign w:val="center"/>
          </w:tcPr>
          <w:p>
            <w:pPr>
              <w:pStyle w:val="TableContents"/>
              <w:bidi w:val="0"/>
              <w:spacing w:before="0" w:after="283"/>
              <w:jc w:val="left"/>
              <w:rPr>
                <w:sz w:val="4"/>
                <w:szCs w:val="4"/>
              </w:rPr>
            </w:pPr>
            <w:r>
              <w:rPr>
                <w:sz w:val="4"/>
                <w:szCs w:val="4"/>
              </w:rPr>
            </w:r>
          </w:p>
        </w:tc>
      </w:tr>
      <w:tr>
        <w:trPr/>
        <w:tc>
          <w:tcPr>
            <w:tcW w:w="644" w:type="dxa"/>
            <w:tcBorders/>
          </w:tcPr>
          <w:p>
            <w:pPr>
              <w:pStyle w:val="TableContents"/>
              <w:bidi w:val="0"/>
              <w:spacing w:before="0" w:after="283"/>
              <w:jc w:val="left"/>
              <w:rPr/>
            </w:pPr>
            <w:r>
              <w:rPr/>
              <w:t>4.3</w:t>
            </w:r>
          </w:p>
        </w:tc>
        <w:tc>
          <w:tcPr>
            <w:tcW w:w="329" w:type="dxa"/>
            <w:tcBorders/>
            <w:vAlign w:val="bottom"/>
          </w:tcPr>
          <w:p>
            <w:pPr>
              <w:pStyle w:val="TableContents"/>
              <w:bidi w:val="0"/>
              <w:spacing w:before="0" w:after="283"/>
              <w:jc w:val="left"/>
              <w:rPr/>
            </w:pPr>
            <w:r>
              <w:rPr/>
              <w:t>  </w:t>
            </w:r>
          </w:p>
        </w:tc>
        <w:tc>
          <w:tcPr>
            <w:tcW w:w="5241" w:type="dxa"/>
            <w:tcBorders/>
          </w:tcPr>
          <w:p>
            <w:pPr>
              <w:pStyle w:val="TableContents"/>
              <w:bidi w:val="0"/>
              <w:spacing w:before="0" w:after="283"/>
              <w:jc w:val="left"/>
              <w:rPr/>
            </w:pPr>
            <w:hyperlink w:anchor="d165682dex43.htm">
              <w:r>
                <w:rPr>
                  <w:rStyle w:val="InternetLink"/>
                </w:rPr>
                <w:t xml:space="preserve">Amendment No. 2 to the Sarepta Therapeutics, Inc. 2024 Employment Commencement Incentive Plan </w:t>
              </w:r>
            </w:hyperlink>
          </w:p>
        </w:tc>
        <w:tc>
          <w:tcPr>
            <w:tcW w:w="21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center"/>
              <w:rPr/>
            </w:pPr>
            <w:r>
              <w:rPr/>
              <w:t>X</w:t>
            </w:r>
          </w:p>
        </w:tc>
      </w:tr>
      <w:tr>
        <w:trPr>
          <w:trHeight w:val="120" w:hRule="atLeast"/>
        </w:trPr>
        <w:tc>
          <w:tcPr>
            <w:tcW w:w="644" w:type="dxa"/>
            <w:tcBorders/>
            <w:vAlign w:val="center"/>
          </w:tcPr>
          <w:p>
            <w:pPr>
              <w:pStyle w:val="TableContents"/>
              <w:bidi w:val="0"/>
              <w:spacing w:before="0" w:after="283"/>
              <w:jc w:val="left"/>
              <w:rPr>
                <w:sz w:val="4"/>
                <w:szCs w:val="4"/>
              </w:rPr>
            </w:pPr>
            <w:r>
              <w:rPr>
                <w:sz w:val="4"/>
                <w:szCs w:val="4"/>
              </w:rPr>
            </w:r>
          </w:p>
        </w:tc>
        <w:tc>
          <w:tcPr>
            <w:tcW w:w="557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984" w:type="dxa"/>
            <w:gridSpan w:val="2"/>
            <w:tcBorders/>
            <w:vAlign w:val="center"/>
          </w:tcPr>
          <w:p>
            <w:pPr>
              <w:pStyle w:val="TableContents"/>
              <w:bidi w:val="0"/>
              <w:spacing w:before="0" w:after="283"/>
              <w:jc w:val="left"/>
              <w:rPr>
                <w:sz w:val="4"/>
                <w:szCs w:val="4"/>
              </w:rPr>
            </w:pPr>
            <w:r>
              <w:rPr>
                <w:sz w:val="4"/>
                <w:szCs w:val="4"/>
              </w:rPr>
            </w:r>
          </w:p>
        </w:tc>
        <w:tc>
          <w:tcPr>
            <w:tcW w:w="856" w:type="dxa"/>
            <w:gridSpan w:val="2"/>
            <w:tcBorders/>
            <w:vAlign w:val="center"/>
          </w:tcPr>
          <w:p>
            <w:pPr>
              <w:pStyle w:val="TableContents"/>
              <w:bidi w:val="0"/>
              <w:spacing w:before="0" w:after="283"/>
              <w:jc w:val="left"/>
              <w:rPr>
                <w:sz w:val="4"/>
                <w:szCs w:val="4"/>
              </w:rPr>
            </w:pPr>
            <w:r>
              <w:rPr>
                <w:sz w:val="4"/>
                <w:szCs w:val="4"/>
              </w:rPr>
            </w:r>
          </w:p>
        </w:tc>
        <w:tc>
          <w:tcPr>
            <w:tcW w:w="1201" w:type="dxa"/>
            <w:gridSpan w:val="2"/>
            <w:tcBorders/>
            <w:vAlign w:val="center"/>
          </w:tcPr>
          <w:p>
            <w:pPr>
              <w:pStyle w:val="TableContents"/>
              <w:bidi w:val="0"/>
              <w:spacing w:before="0" w:after="283"/>
              <w:jc w:val="left"/>
              <w:rPr>
                <w:sz w:val="4"/>
                <w:szCs w:val="4"/>
              </w:rPr>
            </w:pPr>
            <w:r>
              <w:rPr>
                <w:sz w:val="4"/>
                <w:szCs w:val="4"/>
              </w:rPr>
            </w:r>
          </w:p>
        </w:tc>
      </w:tr>
      <w:tr>
        <w:trPr/>
        <w:tc>
          <w:tcPr>
            <w:tcW w:w="644" w:type="dxa"/>
            <w:tcBorders/>
          </w:tcPr>
          <w:p>
            <w:pPr>
              <w:pStyle w:val="TableContents"/>
              <w:bidi w:val="0"/>
              <w:spacing w:before="0" w:after="283"/>
              <w:jc w:val="left"/>
              <w:rPr/>
            </w:pPr>
            <w:r>
              <w:rPr/>
              <w:t>4.4</w:t>
            </w:r>
          </w:p>
        </w:tc>
        <w:tc>
          <w:tcPr>
            <w:tcW w:w="329" w:type="dxa"/>
            <w:tcBorders/>
            <w:vAlign w:val="bottom"/>
          </w:tcPr>
          <w:p>
            <w:pPr>
              <w:pStyle w:val="TableContents"/>
              <w:bidi w:val="0"/>
              <w:spacing w:before="0" w:after="283"/>
              <w:jc w:val="left"/>
              <w:rPr/>
            </w:pPr>
            <w:r>
              <w:rPr/>
              <w:t>  </w:t>
            </w:r>
          </w:p>
        </w:tc>
        <w:tc>
          <w:tcPr>
            <w:tcW w:w="5241" w:type="dxa"/>
            <w:tcBorders/>
          </w:tcPr>
          <w:p>
            <w:pPr>
              <w:pStyle w:val="TableContents"/>
              <w:bidi w:val="0"/>
              <w:spacing w:before="0" w:after="283"/>
              <w:jc w:val="left"/>
              <w:rPr/>
            </w:pPr>
            <w:hyperlink w:anchor="d165682dex44.htm">
              <w:r>
                <w:rPr>
                  <w:rStyle w:val="InternetLink"/>
                </w:rPr>
                <w:t xml:space="preserve">Amendment No. 3 to the Sarepta Therapeutics, Inc. 2024 Employment Commencement Incentive Plan </w:t>
              </w:r>
            </w:hyperlink>
          </w:p>
        </w:tc>
        <w:tc>
          <w:tcPr>
            <w:tcW w:w="21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center"/>
              <w:rPr/>
            </w:pPr>
            <w:r>
              <w:rPr/>
              <w:t>X</w:t>
            </w:r>
          </w:p>
        </w:tc>
      </w:tr>
      <w:tr>
        <w:trPr>
          <w:trHeight w:val="120" w:hRule="atLeast"/>
        </w:trPr>
        <w:tc>
          <w:tcPr>
            <w:tcW w:w="644" w:type="dxa"/>
            <w:tcBorders/>
            <w:vAlign w:val="center"/>
          </w:tcPr>
          <w:p>
            <w:pPr>
              <w:pStyle w:val="TableContents"/>
              <w:bidi w:val="0"/>
              <w:spacing w:before="0" w:after="283"/>
              <w:jc w:val="left"/>
              <w:rPr>
                <w:sz w:val="4"/>
                <w:szCs w:val="4"/>
              </w:rPr>
            </w:pPr>
            <w:r>
              <w:rPr>
                <w:sz w:val="4"/>
                <w:szCs w:val="4"/>
              </w:rPr>
            </w:r>
          </w:p>
        </w:tc>
        <w:tc>
          <w:tcPr>
            <w:tcW w:w="557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984" w:type="dxa"/>
            <w:gridSpan w:val="2"/>
            <w:tcBorders/>
            <w:vAlign w:val="center"/>
          </w:tcPr>
          <w:p>
            <w:pPr>
              <w:pStyle w:val="TableContents"/>
              <w:bidi w:val="0"/>
              <w:spacing w:before="0" w:after="283"/>
              <w:jc w:val="left"/>
              <w:rPr>
                <w:sz w:val="4"/>
                <w:szCs w:val="4"/>
              </w:rPr>
            </w:pPr>
            <w:r>
              <w:rPr>
                <w:sz w:val="4"/>
                <w:szCs w:val="4"/>
              </w:rPr>
            </w:r>
          </w:p>
        </w:tc>
        <w:tc>
          <w:tcPr>
            <w:tcW w:w="856" w:type="dxa"/>
            <w:gridSpan w:val="2"/>
            <w:tcBorders/>
            <w:vAlign w:val="center"/>
          </w:tcPr>
          <w:p>
            <w:pPr>
              <w:pStyle w:val="TableContents"/>
              <w:bidi w:val="0"/>
              <w:spacing w:before="0" w:after="283"/>
              <w:jc w:val="left"/>
              <w:rPr>
                <w:sz w:val="4"/>
                <w:szCs w:val="4"/>
              </w:rPr>
            </w:pPr>
            <w:r>
              <w:rPr>
                <w:sz w:val="4"/>
                <w:szCs w:val="4"/>
              </w:rPr>
            </w:r>
          </w:p>
        </w:tc>
        <w:tc>
          <w:tcPr>
            <w:tcW w:w="1201" w:type="dxa"/>
            <w:gridSpan w:val="2"/>
            <w:tcBorders/>
            <w:vAlign w:val="center"/>
          </w:tcPr>
          <w:p>
            <w:pPr>
              <w:pStyle w:val="TableContents"/>
              <w:bidi w:val="0"/>
              <w:spacing w:before="0" w:after="283"/>
              <w:jc w:val="left"/>
              <w:rPr>
                <w:sz w:val="4"/>
                <w:szCs w:val="4"/>
              </w:rPr>
            </w:pPr>
            <w:r>
              <w:rPr>
                <w:sz w:val="4"/>
                <w:szCs w:val="4"/>
              </w:rPr>
            </w:r>
          </w:p>
        </w:tc>
      </w:tr>
      <w:tr>
        <w:trPr/>
        <w:tc>
          <w:tcPr>
            <w:tcW w:w="644" w:type="dxa"/>
            <w:tcBorders/>
          </w:tcPr>
          <w:p>
            <w:pPr>
              <w:pStyle w:val="TableContents"/>
              <w:bidi w:val="0"/>
              <w:spacing w:before="0" w:after="283"/>
              <w:jc w:val="left"/>
              <w:rPr/>
            </w:pPr>
            <w:r>
              <w:rPr/>
              <w:t>5.1</w:t>
            </w:r>
          </w:p>
        </w:tc>
        <w:tc>
          <w:tcPr>
            <w:tcW w:w="329" w:type="dxa"/>
            <w:tcBorders/>
            <w:vAlign w:val="bottom"/>
          </w:tcPr>
          <w:p>
            <w:pPr>
              <w:pStyle w:val="TableContents"/>
              <w:bidi w:val="0"/>
              <w:spacing w:before="0" w:after="283"/>
              <w:jc w:val="left"/>
              <w:rPr/>
            </w:pPr>
            <w:r>
              <w:rPr/>
              <w:t>  </w:t>
            </w:r>
          </w:p>
        </w:tc>
        <w:tc>
          <w:tcPr>
            <w:tcW w:w="5241" w:type="dxa"/>
            <w:tcBorders/>
          </w:tcPr>
          <w:p>
            <w:pPr>
              <w:pStyle w:val="TableContents"/>
              <w:bidi w:val="0"/>
              <w:spacing w:before="0" w:after="283"/>
              <w:jc w:val="left"/>
              <w:rPr/>
            </w:pPr>
            <w:hyperlink w:anchor="d165682dex51.htm">
              <w:r>
                <w:rPr>
                  <w:rStyle w:val="InternetLink"/>
                </w:rPr>
                <w:t xml:space="preserve">Opinion of Ropes &amp; Gray LLP </w:t>
              </w:r>
            </w:hyperlink>
          </w:p>
        </w:tc>
        <w:tc>
          <w:tcPr>
            <w:tcW w:w="21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center"/>
              <w:rPr/>
            </w:pPr>
            <w:r>
              <w:rPr/>
              <w:t>X</w:t>
            </w:r>
          </w:p>
        </w:tc>
      </w:tr>
      <w:tr>
        <w:trPr>
          <w:trHeight w:val="120" w:hRule="atLeast"/>
        </w:trPr>
        <w:tc>
          <w:tcPr>
            <w:tcW w:w="644" w:type="dxa"/>
            <w:tcBorders/>
            <w:vAlign w:val="center"/>
          </w:tcPr>
          <w:p>
            <w:pPr>
              <w:pStyle w:val="TableContents"/>
              <w:bidi w:val="0"/>
              <w:spacing w:before="0" w:after="283"/>
              <w:jc w:val="left"/>
              <w:rPr>
                <w:sz w:val="4"/>
                <w:szCs w:val="4"/>
              </w:rPr>
            </w:pPr>
            <w:r>
              <w:rPr>
                <w:sz w:val="4"/>
                <w:szCs w:val="4"/>
              </w:rPr>
            </w:r>
          </w:p>
        </w:tc>
        <w:tc>
          <w:tcPr>
            <w:tcW w:w="557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984" w:type="dxa"/>
            <w:gridSpan w:val="2"/>
            <w:tcBorders/>
            <w:vAlign w:val="center"/>
          </w:tcPr>
          <w:p>
            <w:pPr>
              <w:pStyle w:val="TableContents"/>
              <w:bidi w:val="0"/>
              <w:spacing w:before="0" w:after="283"/>
              <w:jc w:val="left"/>
              <w:rPr>
                <w:sz w:val="4"/>
                <w:szCs w:val="4"/>
              </w:rPr>
            </w:pPr>
            <w:r>
              <w:rPr>
                <w:sz w:val="4"/>
                <w:szCs w:val="4"/>
              </w:rPr>
            </w:r>
          </w:p>
        </w:tc>
        <w:tc>
          <w:tcPr>
            <w:tcW w:w="856" w:type="dxa"/>
            <w:gridSpan w:val="2"/>
            <w:tcBorders/>
            <w:vAlign w:val="center"/>
          </w:tcPr>
          <w:p>
            <w:pPr>
              <w:pStyle w:val="TableContents"/>
              <w:bidi w:val="0"/>
              <w:spacing w:before="0" w:after="283"/>
              <w:jc w:val="left"/>
              <w:rPr>
                <w:sz w:val="4"/>
                <w:szCs w:val="4"/>
              </w:rPr>
            </w:pPr>
            <w:r>
              <w:rPr>
                <w:sz w:val="4"/>
                <w:szCs w:val="4"/>
              </w:rPr>
            </w:r>
          </w:p>
        </w:tc>
        <w:tc>
          <w:tcPr>
            <w:tcW w:w="1201" w:type="dxa"/>
            <w:gridSpan w:val="2"/>
            <w:tcBorders/>
            <w:vAlign w:val="center"/>
          </w:tcPr>
          <w:p>
            <w:pPr>
              <w:pStyle w:val="TableContents"/>
              <w:bidi w:val="0"/>
              <w:spacing w:before="0" w:after="283"/>
              <w:jc w:val="left"/>
              <w:rPr>
                <w:sz w:val="4"/>
                <w:szCs w:val="4"/>
              </w:rPr>
            </w:pPr>
            <w:r>
              <w:rPr>
                <w:sz w:val="4"/>
                <w:szCs w:val="4"/>
              </w:rPr>
            </w:r>
          </w:p>
        </w:tc>
      </w:tr>
      <w:tr>
        <w:trPr/>
        <w:tc>
          <w:tcPr>
            <w:tcW w:w="644" w:type="dxa"/>
            <w:tcBorders/>
          </w:tcPr>
          <w:p>
            <w:pPr>
              <w:pStyle w:val="TableContents"/>
              <w:bidi w:val="0"/>
              <w:spacing w:before="0" w:after="283"/>
              <w:jc w:val="left"/>
              <w:rPr/>
            </w:pPr>
            <w:r>
              <w:rPr/>
              <w:t>23.1</w:t>
            </w:r>
          </w:p>
        </w:tc>
        <w:tc>
          <w:tcPr>
            <w:tcW w:w="329" w:type="dxa"/>
            <w:tcBorders/>
            <w:vAlign w:val="bottom"/>
          </w:tcPr>
          <w:p>
            <w:pPr>
              <w:pStyle w:val="TableContents"/>
              <w:bidi w:val="0"/>
              <w:spacing w:before="0" w:after="283"/>
              <w:jc w:val="left"/>
              <w:rPr/>
            </w:pPr>
            <w:r>
              <w:rPr/>
              <w:t>  </w:t>
            </w:r>
          </w:p>
        </w:tc>
        <w:tc>
          <w:tcPr>
            <w:tcW w:w="5241" w:type="dxa"/>
            <w:tcBorders/>
          </w:tcPr>
          <w:p>
            <w:pPr>
              <w:pStyle w:val="TableContents"/>
              <w:bidi w:val="0"/>
              <w:spacing w:before="0" w:after="283"/>
              <w:jc w:val="left"/>
              <w:rPr/>
            </w:pPr>
            <w:hyperlink w:anchor="d165682dex51.htm">
              <w:r>
                <w:rPr>
                  <w:rStyle w:val="InternetLink"/>
                </w:rPr>
                <w:t xml:space="preserve">Consent of Ropes &amp; Gray LLP (included in Exhibit 5.1) </w:t>
              </w:r>
            </w:hyperlink>
          </w:p>
        </w:tc>
        <w:tc>
          <w:tcPr>
            <w:tcW w:w="21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center"/>
              <w:rPr/>
            </w:pPr>
            <w:r>
              <w:rPr/>
              <w:t>X</w:t>
            </w:r>
          </w:p>
        </w:tc>
      </w:tr>
      <w:tr>
        <w:trPr>
          <w:trHeight w:val="120" w:hRule="atLeast"/>
        </w:trPr>
        <w:tc>
          <w:tcPr>
            <w:tcW w:w="644" w:type="dxa"/>
            <w:tcBorders/>
            <w:vAlign w:val="center"/>
          </w:tcPr>
          <w:p>
            <w:pPr>
              <w:pStyle w:val="TableContents"/>
              <w:bidi w:val="0"/>
              <w:spacing w:before="0" w:after="283"/>
              <w:jc w:val="left"/>
              <w:rPr>
                <w:sz w:val="4"/>
                <w:szCs w:val="4"/>
              </w:rPr>
            </w:pPr>
            <w:r>
              <w:rPr>
                <w:sz w:val="4"/>
                <w:szCs w:val="4"/>
              </w:rPr>
            </w:r>
          </w:p>
        </w:tc>
        <w:tc>
          <w:tcPr>
            <w:tcW w:w="557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984" w:type="dxa"/>
            <w:gridSpan w:val="2"/>
            <w:tcBorders/>
            <w:vAlign w:val="center"/>
          </w:tcPr>
          <w:p>
            <w:pPr>
              <w:pStyle w:val="TableContents"/>
              <w:bidi w:val="0"/>
              <w:spacing w:before="0" w:after="283"/>
              <w:jc w:val="left"/>
              <w:rPr>
                <w:sz w:val="4"/>
                <w:szCs w:val="4"/>
              </w:rPr>
            </w:pPr>
            <w:r>
              <w:rPr>
                <w:sz w:val="4"/>
                <w:szCs w:val="4"/>
              </w:rPr>
            </w:r>
          </w:p>
        </w:tc>
        <w:tc>
          <w:tcPr>
            <w:tcW w:w="856" w:type="dxa"/>
            <w:gridSpan w:val="2"/>
            <w:tcBorders/>
            <w:vAlign w:val="center"/>
          </w:tcPr>
          <w:p>
            <w:pPr>
              <w:pStyle w:val="TableContents"/>
              <w:bidi w:val="0"/>
              <w:spacing w:before="0" w:after="283"/>
              <w:jc w:val="left"/>
              <w:rPr>
                <w:sz w:val="4"/>
                <w:szCs w:val="4"/>
              </w:rPr>
            </w:pPr>
            <w:r>
              <w:rPr>
                <w:sz w:val="4"/>
                <w:szCs w:val="4"/>
              </w:rPr>
            </w:r>
          </w:p>
        </w:tc>
        <w:tc>
          <w:tcPr>
            <w:tcW w:w="1201" w:type="dxa"/>
            <w:gridSpan w:val="2"/>
            <w:tcBorders/>
            <w:vAlign w:val="center"/>
          </w:tcPr>
          <w:p>
            <w:pPr>
              <w:pStyle w:val="TableContents"/>
              <w:bidi w:val="0"/>
              <w:spacing w:before="0" w:after="283"/>
              <w:jc w:val="left"/>
              <w:rPr>
                <w:sz w:val="4"/>
                <w:szCs w:val="4"/>
              </w:rPr>
            </w:pPr>
            <w:r>
              <w:rPr>
                <w:sz w:val="4"/>
                <w:szCs w:val="4"/>
              </w:rPr>
            </w:r>
          </w:p>
        </w:tc>
      </w:tr>
      <w:tr>
        <w:trPr/>
        <w:tc>
          <w:tcPr>
            <w:tcW w:w="644" w:type="dxa"/>
            <w:tcBorders/>
          </w:tcPr>
          <w:p>
            <w:pPr>
              <w:pStyle w:val="TableContents"/>
              <w:bidi w:val="0"/>
              <w:spacing w:before="0" w:after="283"/>
              <w:jc w:val="left"/>
              <w:rPr/>
            </w:pPr>
            <w:r>
              <w:rPr/>
              <w:t>23.2</w:t>
            </w:r>
          </w:p>
        </w:tc>
        <w:tc>
          <w:tcPr>
            <w:tcW w:w="329" w:type="dxa"/>
            <w:tcBorders/>
            <w:vAlign w:val="bottom"/>
          </w:tcPr>
          <w:p>
            <w:pPr>
              <w:pStyle w:val="TableContents"/>
              <w:bidi w:val="0"/>
              <w:spacing w:before="0" w:after="283"/>
              <w:jc w:val="left"/>
              <w:rPr/>
            </w:pPr>
            <w:r>
              <w:rPr/>
              <w:t>  </w:t>
            </w:r>
          </w:p>
        </w:tc>
        <w:tc>
          <w:tcPr>
            <w:tcW w:w="5241" w:type="dxa"/>
            <w:tcBorders/>
          </w:tcPr>
          <w:p>
            <w:pPr>
              <w:pStyle w:val="TableContents"/>
              <w:bidi w:val="0"/>
              <w:spacing w:before="0" w:after="283"/>
              <w:jc w:val="left"/>
              <w:rPr/>
            </w:pPr>
            <w:hyperlink w:anchor="d165682dex232.htm">
              <w:r>
                <w:rPr>
                  <w:rStyle w:val="InternetLink"/>
                </w:rPr>
                <w:t xml:space="preserve">Consent of KPMG LLP, independent registered public accounting firm </w:t>
              </w:r>
            </w:hyperlink>
          </w:p>
        </w:tc>
        <w:tc>
          <w:tcPr>
            <w:tcW w:w="21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center"/>
              <w:rPr/>
            </w:pPr>
            <w:r>
              <w:rPr/>
              <w:t>X</w:t>
            </w:r>
          </w:p>
        </w:tc>
      </w:tr>
      <w:tr>
        <w:trPr>
          <w:trHeight w:val="120" w:hRule="atLeast"/>
        </w:trPr>
        <w:tc>
          <w:tcPr>
            <w:tcW w:w="644" w:type="dxa"/>
            <w:tcBorders/>
            <w:vAlign w:val="center"/>
          </w:tcPr>
          <w:p>
            <w:pPr>
              <w:pStyle w:val="TableContents"/>
              <w:bidi w:val="0"/>
              <w:spacing w:before="0" w:after="283"/>
              <w:jc w:val="left"/>
              <w:rPr>
                <w:sz w:val="4"/>
                <w:szCs w:val="4"/>
              </w:rPr>
            </w:pPr>
            <w:r>
              <w:rPr>
                <w:sz w:val="4"/>
                <w:szCs w:val="4"/>
              </w:rPr>
            </w:r>
          </w:p>
        </w:tc>
        <w:tc>
          <w:tcPr>
            <w:tcW w:w="557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984" w:type="dxa"/>
            <w:gridSpan w:val="2"/>
            <w:tcBorders/>
            <w:vAlign w:val="center"/>
          </w:tcPr>
          <w:p>
            <w:pPr>
              <w:pStyle w:val="TableContents"/>
              <w:bidi w:val="0"/>
              <w:spacing w:before="0" w:after="283"/>
              <w:jc w:val="left"/>
              <w:rPr>
                <w:sz w:val="4"/>
                <w:szCs w:val="4"/>
              </w:rPr>
            </w:pPr>
            <w:r>
              <w:rPr>
                <w:sz w:val="4"/>
                <w:szCs w:val="4"/>
              </w:rPr>
            </w:r>
          </w:p>
        </w:tc>
        <w:tc>
          <w:tcPr>
            <w:tcW w:w="856" w:type="dxa"/>
            <w:gridSpan w:val="2"/>
            <w:tcBorders/>
            <w:vAlign w:val="center"/>
          </w:tcPr>
          <w:p>
            <w:pPr>
              <w:pStyle w:val="TableContents"/>
              <w:bidi w:val="0"/>
              <w:spacing w:before="0" w:after="283"/>
              <w:jc w:val="left"/>
              <w:rPr>
                <w:sz w:val="4"/>
                <w:szCs w:val="4"/>
              </w:rPr>
            </w:pPr>
            <w:r>
              <w:rPr>
                <w:sz w:val="4"/>
                <w:szCs w:val="4"/>
              </w:rPr>
            </w:r>
          </w:p>
        </w:tc>
        <w:tc>
          <w:tcPr>
            <w:tcW w:w="1201" w:type="dxa"/>
            <w:gridSpan w:val="2"/>
            <w:tcBorders/>
            <w:vAlign w:val="center"/>
          </w:tcPr>
          <w:p>
            <w:pPr>
              <w:pStyle w:val="TableContents"/>
              <w:bidi w:val="0"/>
              <w:spacing w:before="0" w:after="283"/>
              <w:jc w:val="left"/>
              <w:rPr>
                <w:sz w:val="4"/>
                <w:szCs w:val="4"/>
              </w:rPr>
            </w:pPr>
            <w:r>
              <w:rPr>
                <w:sz w:val="4"/>
                <w:szCs w:val="4"/>
              </w:rPr>
            </w:r>
          </w:p>
        </w:tc>
      </w:tr>
      <w:tr>
        <w:trPr/>
        <w:tc>
          <w:tcPr>
            <w:tcW w:w="644" w:type="dxa"/>
            <w:tcBorders/>
          </w:tcPr>
          <w:p>
            <w:pPr>
              <w:pStyle w:val="TableContents"/>
              <w:bidi w:val="0"/>
              <w:spacing w:before="0" w:after="283"/>
              <w:jc w:val="left"/>
              <w:rPr/>
            </w:pPr>
            <w:r>
              <w:rPr/>
              <w:t>24.1</w:t>
            </w:r>
          </w:p>
        </w:tc>
        <w:tc>
          <w:tcPr>
            <w:tcW w:w="329" w:type="dxa"/>
            <w:tcBorders/>
            <w:vAlign w:val="bottom"/>
          </w:tcPr>
          <w:p>
            <w:pPr>
              <w:pStyle w:val="TableContents"/>
              <w:bidi w:val="0"/>
              <w:spacing w:before="0" w:after="283"/>
              <w:jc w:val="left"/>
              <w:rPr/>
            </w:pPr>
            <w:r>
              <w:rPr/>
              <w:t>  </w:t>
            </w:r>
          </w:p>
        </w:tc>
        <w:tc>
          <w:tcPr>
            <w:tcW w:w="5241" w:type="dxa"/>
            <w:tcBorders/>
          </w:tcPr>
          <w:p>
            <w:pPr>
              <w:pStyle w:val="TableContents"/>
              <w:bidi w:val="0"/>
              <w:spacing w:before="0" w:after="283"/>
              <w:jc w:val="left"/>
              <w:rPr/>
            </w:pPr>
            <w:hyperlink w:anchor="sig">
              <w:r>
                <w:rPr>
                  <w:rStyle w:val="InternetLink"/>
                </w:rPr>
                <w:t xml:space="preserve">Power of Attorney (included in the signature page to this Registration Statement) </w:t>
              </w:r>
            </w:hyperlink>
          </w:p>
        </w:tc>
        <w:tc>
          <w:tcPr>
            <w:tcW w:w="21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center"/>
              <w:rPr/>
            </w:pPr>
            <w:r>
              <w:rPr/>
              <w:t>X</w:t>
            </w:r>
          </w:p>
        </w:tc>
      </w:tr>
      <w:tr>
        <w:trPr>
          <w:trHeight w:val="120" w:hRule="atLeast"/>
        </w:trPr>
        <w:tc>
          <w:tcPr>
            <w:tcW w:w="644" w:type="dxa"/>
            <w:tcBorders/>
            <w:vAlign w:val="center"/>
          </w:tcPr>
          <w:p>
            <w:pPr>
              <w:pStyle w:val="TableContents"/>
              <w:bidi w:val="0"/>
              <w:spacing w:before="0" w:after="283"/>
              <w:jc w:val="left"/>
              <w:rPr>
                <w:sz w:val="4"/>
                <w:szCs w:val="4"/>
              </w:rPr>
            </w:pPr>
            <w:r>
              <w:rPr>
                <w:sz w:val="4"/>
                <w:szCs w:val="4"/>
              </w:rPr>
            </w:r>
          </w:p>
        </w:tc>
        <w:tc>
          <w:tcPr>
            <w:tcW w:w="557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984" w:type="dxa"/>
            <w:gridSpan w:val="2"/>
            <w:tcBorders/>
            <w:vAlign w:val="center"/>
          </w:tcPr>
          <w:p>
            <w:pPr>
              <w:pStyle w:val="TableContents"/>
              <w:bidi w:val="0"/>
              <w:spacing w:before="0" w:after="283"/>
              <w:jc w:val="left"/>
              <w:rPr>
                <w:sz w:val="4"/>
                <w:szCs w:val="4"/>
              </w:rPr>
            </w:pPr>
            <w:r>
              <w:rPr>
                <w:sz w:val="4"/>
                <w:szCs w:val="4"/>
              </w:rPr>
            </w:r>
          </w:p>
        </w:tc>
        <w:tc>
          <w:tcPr>
            <w:tcW w:w="856" w:type="dxa"/>
            <w:gridSpan w:val="2"/>
            <w:tcBorders/>
            <w:vAlign w:val="center"/>
          </w:tcPr>
          <w:p>
            <w:pPr>
              <w:pStyle w:val="TableContents"/>
              <w:bidi w:val="0"/>
              <w:spacing w:before="0" w:after="283"/>
              <w:jc w:val="left"/>
              <w:rPr>
                <w:sz w:val="4"/>
                <w:szCs w:val="4"/>
              </w:rPr>
            </w:pPr>
            <w:r>
              <w:rPr>
                <w:sz w:val="4"/>
                <w:szCs w:val="4"/>
              </w:rPr>
            </w:r>
          </w:p>
        </w:tc>
        <w:tc>
          <w:tcPr>
            <w:tcW w:w="1201" w:type="dxa"/>
            <w:gridSpan w:val="2"/>
            <w:tcBorders/>
            <w:vAlign w:val="center"/>
          </w:tcPr>
          <w:p>
            <w:pPr>
              <w:pStyle w:val="TableContents"/>
              <w:bidi w:val="0"/>
              <w:spacing w:before="0" w:after="283"/>
              <w:jc w:val="left"/>
              <w:rPr>
                <w:sz w:val="4"/>
                <w:szCs w:val="4"/>
              </w:rPr>
            </w:pPr>
            <w:r>
              <w:rPr>
                <w:sz w:val="4"/>
                <w:szCs w:val="4"/>
              </w:rPr>
            </w:r>
          </w:p>
        </w:tc>
      </w:tr>
      <w:tr>
        <w:trPr/>
        <w:tc>
          <w:tcPr>
            <w:tcW w:w="644" w:type="dxa"/>
            <w:tcBorders/>
          </w:tcPr>
          <w:p>
            <w:pPr>
              <w:pStyle w:val="TableContents"/>
              <w:bidi w:val="0"/>
              <w:spacing w:before="0" w:after="283"/>
              <w:jc w:val="left"/>
              <w:rPr/>
            </w:pPr>
            <w:r>
              <w:rPr/>
              <w:t>107</w:t>
            </w:r>
          </w:p>
        </w:tc>
        <w:tc>
          <w:tcPr>
            <w:tcW w:w="329" w:type="dxa"/>
            <w:tcBorders/>
            <w:vAlign w:val="bottom"/>
          </w:tcPr>
          <w:p>
            <w:pPr>
              <w:pStyle w:val="TableContents"/>
              <w:bidi w:val="0"/>
              <w:spacing w:before="0" w:after="283"/>
              <w:jc w:val="left"/>
              <w:rPr/>
            </w:pPr>
            <w:r>
              <w:rPr/>
              <w:t>  </w:t>
            </w:r>
          </w:p>
        </w:tc>
        <w:tc>
          <w:tcPr>
            <w:tcW w:w="5241" w:type="dxa"/>
            <w:tcBorders/>
          </w:tcPr>
          <w:p>
            <w:pPr>
              <w:pStyle w:val="TableContents"/>
              <w:bidi w:val="0"/>
              <w:spacing w:before="0" w:after="283"/>
              <w:jc w:val="left"/>
              <w:rPr/>
            </w:pPr>
            <w:hyperlink w:anchor="d165682dexfilingfees.htm">
              <w:r>
                <w:rPr>
                  <w:rStyle w:val="InternetLink"/>
                </w:rPr>
                <w:t xml:space="preserve">Filing Fees </w:t>
              </w:r>
            </w:hyperlink>
          </w:p>
        </w:tc>
        <w:tc>
          <w:tcPr>
            <w:tcW w:w="21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center"/>
              <w:rPr/>
            </w:pPr>
            <w:r>
              <w:rPr/>
              <w:t>X</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July 28,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Sarepta Therapeutics,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Severino, M.D.</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Michael Severino, M.D.</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Chief Executive Officer</w:t>
            </w:r>
          </w:p>
        </w:tc>
      </w:tr>
    </w:tbl>
    <w:p>
      <w:pPr>
        <w:pStyle w:val="TextBody"/>
        <w:bidi w:val="0"/>
        <w:spacing w:before="480" w:after="0"/>
        <w:jc w:val="center"/>
        <w:rPr>
          <w:rFonts w:ascii="Times New Roman" w:hAnsi="Times New Roman"/>
          <w:b/>
          <w:sz w:val="20"/>
        </w:rPr>
      </w:pPr>
      <w:bookmarkStart w:id="2" w:name="sig"/>
      <w:bookmarkEnd w:id="2"/>
      <w:r>
        <w:rPr>
          <w:rFonts w:ascii="Times New Roman" w:hAnsi="Times New Roman"/>
          <w:b/>
          <w:sz w:val="20"/>
        </w:rPr>
        <w:t xml:space="preserve">SIGNATURES AND POWERS OF ATTORNEY </w:t>
      </w:r>
    </w:p>
    <w:p>
      <w:pPr>
        <w:pStyle w:val="TextBody"/>
        <w:bidi w:val="0"/>
        <w:spacing w:before="240" w:after="0"/>
        <w:jc w:val="left"/>
        <w:rPr>
          <w:rFonts w:ascii="Times New Roman" w:hAnsi="Times New Roman"/>
          <w:sz w:val="20"/>
        </w:rPr>
      </w:pPr>
      <w:r>
        <w:rPr>
          <w:rFonts w:ascii="Times New Roman" w:hAnsi="Times New Roman"/>
          <w:sz w:val="20"/>
        </w:rPr>
        <w:t xml:space="preserve">Each person whose signature appears below hereby constitutes and appoints Michael Severino, M.D., Ian M. Estepan, Ryan H. Wong and Cristin L. Rothfuss, and each of them singly,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on Form S-8 of Sarepta Therapeutics, Inc., and to file the same, with all exhibits thereto, and other documents in connection therewith, with the Securities and Exchange Commission, granting unto said attorneys-in-fact and agents full power and authority to be done in and about the premises, as fully to all intents and purposes as he or she might or could do in person, hereby ratifying and confirming all that said attorneys-in-fact and agents, or their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below by the following persons in the capacities indicated below on the dates indicated: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48"/>
        <w:gridCol w:w="120"/>
        <w:gridCol w:w="4549"/>
        <w:gridCol w:w="120"/>
        <w:gridCol w:w="2068"/>
      </w:tblGrid>
      <w:tr>
        <w:trPr/>
        <w:tc>
          <w:tcPr>
            <w:tcW w:w="334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4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r>
      <w:tr>
        <w:trPr/>
        <w:tc>
          <w:tcPr>
            <w:tcW w:w="3348" w:type="dxa"/>
            <w:tcBorders/>
            <w:vAlign w:val="bottom"/>
          </w:tcPr>
          <w:p>
            <w:pPr>
              <w:pStyle w:val="TableContents"/>
              <w:bidi w:val="0"/>
              <w:spacing w:before="0" w:after="283"/>
              <w:jc w:val="center"/>
              <w:rPr/>
            </w:pPr>
            <w:r>
              <w:rPr/>
              <w:t>Signature</w:t>
            </w:r>
          </w:p>
        </w:tc>
        <w:tc>
          <w:tcPr>
            <w:tcW w:w="120" w:type="dxa"/>
            <w:tcBorders/>
            <w:vAlign w:val="bottom"/>
          </w:tcPr>
          <w:p>
            <w:pPr>
              <w:pStyle w:val="TableContents"/>
              <w:bidi w:val="0"/>
              <w:spacing w:before="0" w:after="283"/>
              <w:jc w:val="left"/>
              <w:rPr/>
            </w:pPr>
            <w:r>
              <w:rPr/>
              <w:t>  </w:t>
            </w:r>
          </w:p>
        </w:tc>
        <w:tc>
          <w:tcPr>
            <w:tcW w:w="4549" w:type="dxa"/>
            <w:tcBorders/>
            <w:vAlign w:val="bottom"/>
          </w:tcPr>
          <w:p>
            <w:pPr>
              <w:pStyle w:val="TableContents"/>
              <w:bidi w:val="0"/>
              <w:spacing w:before="0" w:after="283"/>
              <w:jc w:val="center"/>
              <w:rPr/>
            </w:pPr>
            <w:r>
              <w:rPr/>
              <w:t>Title</w:t>
            </w:r>
          </w:p>
        </w:tc>
        <w:tc>
          <w:tcPr>
            <w:tcW w:w="120" w:type="dxa"/>
            <w:tcBorders/>
            <w:vAlign w:val="bottom"/>
          </w:tcPr>
          <w:p>
            <w:pPr>
              <w:pStyle w:val="TableContents"/>
              <w:bidi w:val="0"/>
              <w:spacing w:before="0" w:after="283"/>
              <w:jc w:val="left"/>
              <w:rPr/>
            </w:pPr>
            <w:r>
              <w:rPr/>
              <w:t>  </w:t>
            </w:r>
          </w:p>
        </w:tc>
        <w:tc>
          <w:tcPr>
            <w:tcW w:w="2068" w:type="dxa"/>
            <w:tcBorders/>
            <w:vAlign w:val="bottom"/>
          </w:tcPr>
          <w:p>
            <w:pPr>
              <w:pStyle w:val="TableContents"/>
              <w:bidi w:val="0"/>
              <w:spacing w:before="0" w:after="283"/>
              <w:jc w:val="center"/>
              <w:rPr/>
            </w:pPr>
            <w:r>
              <w:rPr/>
              <w:t>Date</w:t>
            </w:r>
          </w:p>
        </w:tc>
      </w:tr>
      <w:tr>
        <w:trPr>
          <w:trHeight w:val="120" w:hRule="atLeast"/>
        </w:trPr>
        <w:tc>
          <w:tcPr>
            <w:tcW w:w="3348" w:type="dxa"/>
            <w:tcBorders/>
            <w:vAlign w:val="center"/>
          </w:tcPr>
          <w:p>
            <w:pPr>
              <w:pStyle w:val="TableContents"/>
              <w:bidi w:val="0"/>
              <w:spacing w:before="0" w:after="283"/>
              <w:jc w:val="left"/>
              <w:rPr>
                <w:sz w:val="4"/>
                <w:szCs w:val="4"/>
              </w:rPr>
            </w:pPr>
            <w:r>
              <w:rPr>
                <w:sz w:val="4"/>
                <w:szCs w:val="4"/>
              </w:rPr>
            </w:r>
          </w:p>
        </w:tc>
        <w:tc>
          <w:tcPr>
            <w:tcW w:w="4669" w:type="dxa"/>
            <w:gridSpan w:val="2"/>
            <w:tcBorders/>
            <w:vAlign w:val="center"/>
          </w:tcPr>
          <w:p>
            <w:pPr>
              <w:pStyle w:val="TableContents"/>
              <w:bidi w:val="0"/>
              <w:spacing w:before="0" w:after="283"/>
              <w:jc w:val="left"/>
              <w:rPr>
                <w:sz w:val="4"/>
                <w:szCs w:val="4"/>
              </w:rPr>
            </w:pPr>
            <w:r>
              <w:rPr>
                <w:sz w:val="4"/>
                <w:szCs w:val="4"/>
              </w:rPr>
            </w:r>
          </w:p>
        </w:tc>
        <w:tc>
          <w:tcPr>
            <w:tcW w:w="2188" w:type="dxa"/>
            <w:gridSpan w:val="2"/>
            <w:tcBorders/>
            <w:vAlign w:val="center"/>
          </w:tcPr>
          <w:p>
            <w:pPr>
              <w:pStyle w:val="TableContents"/>
              <w:bidi w:val="0"/>
              <w:spacing w:before="0" w:after="283"/>
              <w:jc w:val="left"/>
              <w:rPr>
                <w:sz w:val="4"/>
                <w:szCs w:val="4"/>
              </w:rPr>
            </w:pPr>
            <w:r>
              <w:rPr>
                <w:sz w:val="4"/>
                <w:szCs w:val="4"/>
              </w:rPr>
            </w:r>
          </w:p>
        </w:tc>
      </w:tr>
      <w:tr>
        <w:trPr/>
        <w:tc>
          <w:tcPr>
            <w:tcW w:w="33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Severino, M.D.</w:t>
            </w:r>
          </w:p>
        </w:tc>
        <w:tc>
          <w:tcPr>
            <w:tcW w:w="120" w:type="dxa"/>
            <w:tcBorders/>
            <w:vAlign w:val="bottom"/>
          </w:tcPr>
          <w:p>
            <w:pPr>
              <w:pStyle w:val="TableContents"/>
              <w:bidi w:val="0"/>
              <w:spacing w:before="0" w:after="283"/>
              <w:jc w:val="left"/>
              <w:rPr/>
            </w:pPr>
            <w:r>
              <w:rPr/>
              <w:t>  </w:t>
            </w:r>
          </w:p>
        </w:tc>
        <w:tc>
          <w:tcPr>
            <w:tcW w:w="4549" w:type="dxa"/>
            <w:tcBorders/>
          </w:tcPr>
          <w:p>
            <w:pPr>
              <w:pStyle w:val="TableContents"/>
              <w:bidi w:val="0"/>
              <w:spacing w:before="0" w:after="283"/>
              <w:jc w:val="left"/>
              <w:rPr/>
            </w:pPr>
            <w:r>
              <w:rPr/>
              <w:t>Chief Executive Officer, Director</w:t>
            </w:r>
          </w:p>
        </w:tc>
        <w:tc>
          <w:tcPr>
            <w:tcW w:w="120" w:type="dxa"/>
            <w:tcBorders/>
            <w:vAlign w:val="bottom"/>
          </w:tcPr>
          <w:p>
            <w:pPr>
              <w:pStyle w:val="TableContents"/>
              <w:bidi w:val="0"/>
              <w:spacing w:before="0" w:after="283"/>
              <w:jc w:val="left"/>
              <w:rPr/>
            </w:pPr>
            <w:r>
              <w:rPr/>
              <w:t>  </w:t>
            </w:r>
          </w:p>
        </w:tc>
        <w:tc>
          <w:tcPr>
            <w:tcW w:w="2068" w:type="dxa"/>
            <w:tcBorders/>
          </w:tcPr>
          <w:p>
            <w:pPr>
              <w:pStyle w:val="TableContents"/>
              <w:bidi w:val="0"/>
              <w:spacing w:before="0" w:after="283"/>
              <w:jc w:val="center"/>
              <w:rPr/>
            </w:pPr>
            <w:r>
              <w:rPr/>
              <w:t>July 28, 2026</w:t>
            </w:r>
          </w:p>
        </w:tc>
      </w:tr>
      <w:tr>
        <w:trPr/>
        <w:tc>
          <w:tcPr>
            <w:tcW w:w="3348" w:type="dxa"/>
            <w:tcBorders/>
          </w:tcPr>
          <w:p>
            <w:pPr>
              <w:pStyle w:val="TableContents"/>
              <w:bidi w:val="0"/>
              <w:spacing w:before="0" w:after="283"/>
              <w:jc w:val="left"/>
              <w:rPr/>
            </w:pPr>
            <w:r>
              <w:rPr/>
              <w:t>Michael Severino, M.D.</w:t>
            </w:r>
          </w:p>
        </w:tc>
        <w:tc>
          <w:tcPr>
            <w:tcW w:w="120" w:type="dxa"/>
            <w:tcBorders/>
            <w:vAlign w:val="bottom"/>
          </w:tcPr>
          <w:p>
            <w:pPr>
              <w:pStyle w:val="TableContents"/>
              <w:bidi w:val="0"/>
              <w:spacing w:before="0" w:after="283"/>
              <w:jc w:val="left"/>
              <w:rPr/>
            </w:pPr>
            <w:r>
              <w:rPr/>
              <w:t>  </w:t>
            </w:r>
          </w:p>
        </w:tc>
        <w:tc>
          <w:tcPr>
            <w:tcW w:w="4549" w:type="dxa"/>
            <w:tcBorders/>
          </w:tcPr>
          <w:p>
            <w:pPr>
              <w:pStyle w:val="TableContents"/>
              <w:bidi w:val="0"/>
              <w:spacing w:before="0" w:after="283"/>
              <w:jc w:val="left"/>
              <w:rPr/>
            </w:pPr>
            <w:r>
              <w:rPr/>
              <w:t>(Principal Executive Officer)</w:t>
            </w:r>
          </w:p>
        </w:tc>
        <w:tc>
          <w:tcPr>
            <w:tcW w:w="120" w:type="dxa"/>
            <w:tcBorders/>
            <w:vAlign w:val="bottom"/>
          </w:tcPr>
          <w:p>
            <w:pPr>
              <w:pStyle w:val="TableContents"/>
              <w:bidi w:val="0"/>
              <w:spacing w:before="0" w:after="283"/>
              <w:jc w:val="left"/>
              <w:rPr/>
            </w:pPr>
            <w:r>
              <w:rPr/>
              <w:t>  </w:t>
            </w:r>
          </w:p>
        </w:tc>
        <w:tc>
          <w:tcPr>
            <w:tcW w:w="2068" w:type="dxa"/>
            <w:tcBorders/>
          </w:tcPr>
          <w:p>
            <w:pPr>
              <w:pStyle w:val="TableContents"/>
              <w:bidi w:val="0"/>
              <w:spacing w:before="0" w:after="283"/>
              <w:jc w:val="left"/>
              <w:rPr>
                <w:sz w:val="4"/>
                <w:szCs w:val="4"/>
              </w:rPr>
            </w:pPr>
            <w:r>
              <w:rPr>
                <w:sz w:val="4"/>
                <w:szCs w:val="4"/>
              </w:rPr>
            </w:r>
          </w:p>
        </w:tc>
      </w:tr>
      <w:tr>
        <w:trPr>
          <w:trHeight w:val="240" w:hRule="atLeast"/>
        </w:trPr>
        <w:tc>
          <w:tcPr>
            <w:tcW w:w="3348" w:type="dxa"/>
            <w:tcBorders/>
            <w:vAlign w:val="center"/>
          </w:tcPr>
          <w:p>
            <w:pPr>
              <w:pStyle w:val="TableContents"/>
              <w:bidi w:val="0"/>
              <w:spacing w:before="0" w:after="283"/>
              <w:jc w:val="left"/>
              <w:rPr>
                <w:sz w:val="4"/>
                <w:szCs w:val="4"/>
              </w:rPr>
            </w:pPr>
            <w:r>
              <w:rPr>
                <w:sz w:val="4"/>
                <w:szCs w:val="4"/>
              </w:rPr>
            </w:r>
          </w:p>
        </w:tc>
        <w:tc>
          <w:tcPr>
            <w:tcW w:w="4669" w:type="dxa"/>
            <w:gridSpan w:val="2"/>
            <w:tcBorders/>
            <w:vAlign w:val="center"/>
          </w:tcPr>
          <w:p>
            <w:pPr>
              <w:pStyle w:val="TableContents"/>
              <w:bidi w:val="0"/>
              <w:spacing w:before="0" w:after="283"/>
              <w:jc w:val="left"/>
              <w:rPr>
                <w:sz w:val="4"/>
                <w:szCs w:val="4"/>
              </w:rPr>
            </w:pPr>
            <w:r>
              <w:rPr>
                <w:sz w:val="4"/>
                <w:szCs w:val="4"/>
              </w:rPr>
            </w:r>
          </w:p>
        </w:tc>
        <w:tc>
          <w:tcPr>
            <w:tcW w:w="2188" w:type="dxa"/>
            <w:gridSpan w:val="2"/>
            <w:tcBorders/>
            <w:vAlign w:val="center"/>
          </w:tcPr>
          <w:p>
            <w:pPr>
              <w:pStyle w:val="TableContents"/>
              <w:bidi w:val="0"/>
              <w:spacing w:before="0" w:after="283"/>
              <w:jc w:val="left"/>
              <w:rPr>
                <w:sz w:val="4"/>
                <w:szCs w:val="4"/>
              </w:rPr>
            </w:pPr>
            <w:r>
              <w:rPr>
                <w:sz w:val="4"/>
                <w:szCs w:val="4"/>
              </w:rPr>
            </w:r>
          </w:p>
        </w:tc>
      </w:tr>
      <w:tr>
        <w:trPr/>
        <w:tc>
          <w:tcPr>
            <w:tcW w:w="33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Ryan H. Wong</w:t>
            </w:r>
          </w:p>
        </w:tc>
        <w:tc>
          <w:tcPr>
            <w:tcW w:w="120" w:type="dxa"/>
            <w:tcBorders/>
            <w:vAlign w:val="bottom"/>
          </w:tcPr>
          <w:p>
            <w:pPr>
              <w:pStyle w:val="TableContents"/>
              <w:bidi w:val="0"/>
              <w:spacing w:before="0" w:after="283"/>
              <w:jc w:val="left"/>
              <w:rPr/>
            </w:pPr>
            <w:r>
              <w:rPr/>
              <w:t>  </w:t>
            </w:r>
          </w:p>
        </w:tc>
        <w:tc>
          <w:tcPr>
            <w:tcW w:w="4549" w:type="dxa"/>
            <w:tcBorders/>
          </w:tcPr>
          <w:p>
            <w:pPr>
              <w:pStyle w:val="TableContents"/>
              <w:bidi w:val="0"/>
              <w:spacing w:before="0" w:after="283"/>
              <w:jc w:val="left"/>
              <w:rPr/>
            </w:pPr>
            <w:r>
              <w:rPr/>
              <w:t>Executive Vice President, Chief Financial Officer</w:t>
            </w:r>
          </w:p>
        </w:tc>
        <w:tc>
          <w:tcPr>
            <w:tcW w:w="120" w:type="dxa"/>
            <w:tcBorders/>
            <w:vAlign w:val="bottom"/>
          </w:tcPr>
          <w:p>
            <w:pPr>
              <w:pStyle w:val="TableContents"/>
              <w:bidi w:val="0"/>
              <w:spacing w:before="0" w:after="283"/>
              <w:jc w:val="left"/>
              <w:rPr/>
            </w:pPr>
            <w:r>
              <w:rPr/>
              <w:t>  </w:t>
            </w:r>
          </w:p>
        </w:tc>
        <w:tc>
          <w:tcPr>
            <w:tcW w:w="2068" w:type="dxa"/>
            <w:tcBorders/>
          </w:tcPr>
          <w:p>
            <w:pPr>
              <w:pStyle w:val="TableContents"/>
              <w:bidi w:val="0"/>
              <w:spacing w:before="0" w:after="283"/>
              <w:jc w:val="center"/>
              <w:rPr/>
            </w:pPr>
            <w:r>
              <w:rPr/>
              <w:t>July 28, 2026</w:t>
            </w:r>
          </w:p>
        </w:tc>
      </w:tr>
      <w:tr>
        <w:trPr/>
        <w:tc>
          <w:tcPr>
            <w:tcW w:w="3348" w:type="dxa"/>
            <w:tcBorders/>
          </w:tcPr>
          <w:p>
            <w:pPr>
              <w:pStyle w:val="TableContents"/>
              <w:bidi w:val="0"/>
              <w:spacing w:before="0" w:after="283"/>
              <w:jc w:val="left"/>
              <w:rPr/>
            </w:pPr>
            <w:r>
              <w:rPr/>
              <w:t>Ryan H. Wong</w:t>
            </w:r>
          </w:p>
        </w:tc>
        <w:tc>
          <w:tcPr>
            <w:tcW w:w="120" w:type="dxa"/>
            <w:tcBorders/>
            <w:vAlign w:val="bottom"/>
          </w:tcPr>
          <w:p>
            <w:pPr>
              <w:pStyle w:val="TableContents"/>
              <w:bidi w:val="0"/>
              <w:spacing w:before="0" w:after="283"/>
              <w:jc w:val="left"/>
              <w:rPr/>
            </w:pPr>
            <w:r>
              <w:rPr/>
              <w:t>  </w:t>
            </w:r>
          </w:p>
        </w:tc>
        <w:tc>
          <w:tcPr>
            <w:tcW w:w="4549" w:type="dxa"/>
            <w:tcBorders/>
          </w:tcPr>
          <w:p>
            <w:pPr>
              <w:pStyle w:val="TableContents"/>
              <w:bidi w:val="0"/>
              <w:spacing w:before="0" w:after="283"/>
              <w:jc w:val="left"/>
              <w:rPr/>
            </w:pPr>
            <w:r>
              <w:rPr/>
              <w:t>(Principal Financial and Accounting Officer)</w:t>
            </w:r>
          </w:p>
        </w:tc>
        <w:tc>
          <w:tcPr>
            <w:tcW w:w="120" w:type="dxa"/>
            <w:tcBorders/>
            <w:vAlign w:val="bottom"/>
          </w:tcPr>
          <w:p>
            <w:pPr>
              <w:pStyle w:val="TableContents"/>
              <w:bidi w:val="0"/>
              <w:spacing w:before="0" w:after="283"/>
              <w:jc w:val="left"/>
              <w:rPr/>
            </w:pPr>
            <w:r>
              <w:rPr/>
              <w:t>  </w:t>
            </w:r>
          </w:p>
        </w:tc>
        <w:tc>
          <w:tcPr>
            <w:tcW w:w="2068" w:type="dxa"/>
            <w:tcBorders/>
          </w:tcPr>
          <w:p>
            <w:pPr>
              <w:pStyle w:val="TableContents"/>
              <w:bidi w:val="0"/>
              <w:spacing w:before="0" w:after="283"/>
              <w:jc w:val="left"/>
              <w:rPr>
                <w:sz w:val="4"/>
                <w:szCs w:val="4"/>
              </w:rPr>
            </w:pPr>
            <w:r>
              <w:rPr>
                <w:sz w:val="4"/>
                <w:szCs w:val="4"/>
              </w:rPr>
            </w:r>
          </w:p>
        </w:tc>
      </w:tr>
      <w:tr>
        <w:trPr>
          <w:trHeight w:val="240" w:hRule="atLeast"/>
        </w:trPr>
        <w:tc>
          <w:tcPr>
            <w:tcW w:w="3348" w:type="dxa"/>
            <w:tcBorders/>
            <w:vAlign w:val="center"/>
          </w:tcPr>
          <w:p>
            <w:pPr>
              <w:pStyle w:val="TableContents"/>
              <w:bidi w:val="0"/>
              <w:spacing w:before="0" w:after="283"/>
              <w:jc w:val="left"/>
              <w:rPr>
                <w:sz w:val="4"/>
                <w:szCs w:val="4"/>
              </w:rPr>
            </w:pPr>
            <w:r>
              <w:rPr>
                <w:sz w:val="4"/>
                <w:szCs w:val="4"/>
              </w:rPr>
            </w:r>
          </w:p>
        </w:tc>
        <w:tc>
          <w:tcPr>
            <w:tcW w:w="4669" w:type="dxa"/>
            <w:gridSpan w:val="2"/>
            <w:tcBorders/>
            <w:vAlign w:val="center"/>
          </w:tcPr>
          <w:p>
            <w:pPr>
              <w:pStyle w:val="TableContents"/>
              <w:bidi w:val="0"/>
              <w:spacing w:before="0" w:after="283"/>
              <w:jc w:val="left"/>
              <w:rPr>
                <w:sz w:val="4"/>
                <w:szCs w:val="4"/>
              </w:rPr>
            </w:pPr>
            <w:r>
              <w:rPr>
                <w:sz w:val="4"/>
                <w:szCs w:val="4"/>
              </w:rPr>
            </w:r>
          </w:p>
        </w:tc>
        <w:tc>
          <w:tcPr>
            <w:tcW w:w="2188" w:type="dxa"/>
            <w:gridSpan w:val="2"/>
            <w:tcBorders/>
            <w:vAlign w:val="center"/>
          </w:tcPr>
          <w:p>
            <w:pPr>
              <w:pStyle w:val="TableContents"/>
              <w:bidi w:val="0"/>
              <w:spacing w:before="0" w:after="283"/>
              <w:jc w:val="left"/>
              <w:rPr>
                <w:sz w:val="4"/>
                <w:szCs w:val="4"/>
              </w:rPr>
            </w:pPr>
            <w:r>
              <w:rPr>
                <w:sz w:val="4"/>
                <w:szCs w:val="4"/>
              </w:rPr>
            </w:r>
          </w:p>
        </w:tc>
      </w:tr>
      <w:tr>
        <w:trPr/>
        <w:tc>
          <w:tcPr>
            <w:tcW w:w="33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 Kathleen Behrens, Ph.D.</w:t>
            </w:r>
          </w:p>
        </w:tc>
        <w:tc>
          <w:tcPr>
            <w:tcW w:w="120" w:type="dxa"/>
            <w:tcBorders/>
            <w:vAlign w:val="bottom"/>
          </w:tcPr>
          <w:p>
            <w:pPr>
              <w:pStyle w:val="TableContents"/>
              <w:bidi w:val="0"/>
              <w:spacing w:before="0" w:after="283"/>
              <w:jc w:val="left"/>
              <w:rPr/>
            </w:pPr>
            <w:r>
              <w:rPr/>
              <w:t>  </w:t>
            </w:r>
          </w:p>
        </w:tc>
        <w:tc>
          <w:tcPr>
            <w:tcW w:w="4549" w:type="dxa"/>
            <w:tcBorders/>
          </w:tcPr>
          <w:p>
            <w:pPr>
              <w:pStyle w:val="TableContents"/>
              <w:bidi w:val="0"/>
              <w:spacing w:before="0" w:after="283"/>
              <w:jc w:val="left"/>
              <w:rPr/>
            </w:pPr>
            <w:r>
              <w:rPr/>
              <w:t>Chairwoman of the Board</w:t>
            </w:r>
          </w:p>
        </w:tc>
        <w:tc>
          <w:tcPr>
            <w:tcW w:w="120" w:type="dxa"/>
            <w:tcBorders/>
            <w:vAlign w:val="bottom"/>
          </w:tcPr>
          <w:p>
            <w:pPr>
              <w:pStyle w:val="TableContents"/>
              <w:bidi w:val="0"/>
              <w:spacing w:before="0" w:after="283"/>
              <w:jc w:val="left"/>
              <w:rPr/>
            </w:pPr>
            <w:r>
              <w:rPr/>
              <w:t>  </w:t>
            </w:r>
          </w:p>
        </w:tc>
        <w:tc>
          <w:tcPr>
            <w:tcW w:w="2068" w:type="dxa"/>
            <w:tcBorders/>
          </w:tcPr>
          <w:p>
            <w:pPr>
              <w:pStyle w:val="TableContents"/>
              <w:bidi w:val="0"/>
              <w:spacing w:before="0" w:after="283"/>
              <w:jc w:val="center"/>
              <w:rPr/>
            </w:pPr>
            <w:r>
              <w:rPr/>
              <w:t>July 28, 2026</w:t>
            </w:r>
          </w:p>
        </w:tc>
      </w:tr>
      <w:tr>
        <w:trPr/>
        <w:tc>
          <w:tcPr>
            <w:tcW w:w="3348" w:type="dxa"/>
            <w:tcBorders/>
          </w:tcPr>
          <w:p>
            <w:pPr>
              <w:pStyle w:val="TableContents"/>
              <w:bidi w:val="0"/>
              <w:spacing w:before="0" w:after="283"/>
              <w:jc w:val="left"/>
              <w:rPr/>
            </w:pPr>
            <w:r>
              <w:rPr/>
              <w:t>M. Kathleen Behrens, Ph.D.</w:t>
            </w:r>
          </w:p>
        </w:tc>
        <w:tc>
          <w:tcPr>
            <w:tcW w:w="120" w:type="dxa"/>
            <w:tcBorders/>
            <w:vAlign w:val="bottom"/>
          </w:tcPr>
          <w:p>
            <w:pPr>
              <w:pStyle w:val="TableContents"/>
              <w:bidi w:val="0"/>
              <w:spacing w:before="0" w:after="283"/>
              <w:jc w:val="left"/>
              <w:rPr/>
            </w:pPr>
            <w:r>
              <w:rPr/>
              <w:t>  </w:t>
            </w:r>
          </w:p>
        </w:tc>
        <w:tc>
          <w:tcPr>
            <w:tcW w:w="454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68" w:type="dxa"/>
            <w:tcBorders/>
          </w:tcPr>
          <w:p>
            <w:pPr>
              <w:pStyle w:val="TableContents"/>
              <w:bidi w:val="0"/>
              <w:spacing w:before="0" w:after="283"/>
              <w:jc w:val="left"/>
              <w:rPr>
                <w:sz w:val="4"/>
                <w:szCs w:val="4"/>
              </w:rPr>
            </w:pPr>
            <w:r>
              <w:rPr>
                <w:sz w:val="4"/>
                <w:szCs w:val="4"/>
              </w:rPr>
            </w:r>
          </w:p>
        </w:tc>
      </w:tr>
      <w:tr>
        <w:trPr>
          <w:trHeight w:val="240" w:hRule="atLeast"/>
        </w:trPr>
        <w:tc>
          <w:tcPr>
            <w:tcW w:w="3348" w:type="dxa"/>
            <w:tcBorders/>
            <w:vAlign w:val="center"/>
          </w:tcPr>
          <w:p>
            <w:pPr>
              <w:pStyle w:val="TableContents"/>
              <w:bidi w:val="0"/>
              <w:spacing w:before="0" w:after="283"/>
              <w:jc w:val="left"/>
              <w:rPr>
                <w:sz w:val="4"/>
                <w:szCs w:val="4"/>
              </w:rPr>
            </w:pPr>
            <w:r>
              <w:rPr>
                <w:sz w:val="4"/>
                <w:szCs w:val="4"/>
              </w:rPr>
            </w:r>
          </w:p>
        </w:tc>
        <w:tc>
          <w:tcPr>
            <w:tcW w:w="4669" w:type="dxa"/>
            <w:gridSpan w:val="2"/>
            <w:tcBorders/>
            <w:vAlign w:val="center"/>
          </w:tcPr>
          <w:p>
            <w:pPr>
              <w:pStyle w:val="TableContents"/>
              <w:bidi w:val="0"/>
              <w:spacing w:before="0" w:after="283"/>
              <w:jc w:val="left"/>
              <w:rPr>
                <w:sz w:val="4"/>
                <w:szCs w:val="4"/>
              </w:rPr>
            </w:pPr>
            <w:r>
              <w:rPr>
                <w:sz w:val="4"/>
                <w:szCs w:val="4"/>
              </w:rPr>
            </w:r>
          </w:p>
        </w:tc>
        <w:tc>
          <w:tcPr>
            <w:tcW w:w="2188" w:type="dxa"/>
            <w:gridSpan w:val="2"/>
            <w:tcBorders/>
            <w:vAlign w:val="center"/>
          </w:tcPr>
          <w:p>
            <w:pPr>
              <w:pStyle w:val="TableContents"/>
              <w:bidi w:val="0"/>
              <w:spacing w:before="0" w:after="283"/>
              <w:jc w:val="left"/>
              <w:rPr>
                <w:sz w:val="4"/>
                <w:szCs w:val="4"/>
              </w:rPr>
            </w:pPr>
            <w:r>
              <w:rPr>
                <w:sz w:val="4"/>
                <w:szCs w:val="4"/>
              </w:rPr>
            </w:r>
          </w:p>
        </w:tc>
      </w:tr>
      <w:tr>
        <w:trPr/>
        <w:tc>
          <w:tcPr>
            <w:tcW w:w="33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Richard J. Barry</w:t>
            </w:r>
          </w:p>
        </w:tc>
        <w:tc>
          <w:tcPr>
            <w:tcW w:w="120" w:type="dxa"/>
            <w:tcBorders/>
            <w:vAlign w:val="bottom"/>
          </w:tcPr>
          <w:p>
            <w:pPr>
              <w:pStyle w:val="TableContents"/>
              <w:bidi w:val="0"/>
              <w:spacing w:before="0" w:after="283"/>
              <w:jc w:val="left"/>
              <w:rPr/>
            </w:pPr>
            <w:r>
              <w:rPr/>
              <w:t>  </w:t>
            </w:r>
          </w:p>
        </w:tc>
        <w:tc>
          <w:tcPr>
            <w:tcW w:w="4549" w:type="dxa"/>
            <w:tcBorders/>
          </w:tcPr>
          <w:p>
            <w:pPr>
              <w:pStyle w:val="TableContents"/>
              <w:bidi w:val="0"/>
              <w:spacing w:before="0" w:after="283"/>
              <w:jc w:val="left"/>
              <w:rPr/>
            </w:pPr>
            <w:r>
              <w:rPr/>
              <w:t>Director</w:t>
            </w:r>
          </w:p>
        </w:tc>
        <w:tc>
          <w:tcPr>
            <w:tcW w:w="120" w:type="dxa"/>
            <w:tcBorders/>
            <w:vAlign w:val="bottom"/>
          </w:tcPr>
          <w:p>
            <w:pPr>
              <w:pStyle w:val="TableContents"/>
              <w:bidi w:val="0"/>
              <w:spacing w:before="0" w:after="283"/>
              <w:jc w:val="left"/>
              <w:rPr/>
            </w:pPr>
            <w:r>
              <w:rPr/>
              <w:t>  </w:t>
            </w:r>
          </w:p>
        </w:tc>
        <w:tc>
          <w:tcPr>
            <w:tcW w:w="2068" w:type="dxa"/>
            <w:tcBorders/>
          </w:tcPr>
          <w:p>
            <w:pPr>
              <w:pStyle w:val="TableContents"/>
              <w:bidi w:val="0"/>
              <w:spacing w:before="0" w:after="283"/>
              <w:jc w:val="center"/>
              <w:rPr/>
            </w:pPr>
            <w:r>
              <w:rPr/>
              <w:t>July 28, 2026</w:t>
            </w:r>
          </w:p>
        </w:tc>
      </w:tr>
      <w:tr>
        <w:trPr/>
        <w:tc>
          <w:tcPr>
            <w:tcW w:w="3348" w:type="dxa"/>
            <w:tcBorders/>
          </w:tcPr>
          <w:p>
            <w:pPr>
              <w:pStyle w:val="TableContents"/>
              <w:bidi w:val="0"/>
              <w:spacing w:before="0" w:after="283"/>
              <w:jc w:val="left"/>
              <w:rPr/>
            </w:pPr>
            <w:r>
              <w:rPr/>
              <w:t>Richard J. Barry</w:t>
            </w:r>
          </w:p>
        </w:tc>
        <w:tc>
          <w:tcPr>
            <w:tcW w:w="120" w:type="dxa"/>
            <w:tcBorders/>
            <w:vAlign w:val="bottom"/>
          </w:tcPr>
          <w:p>
            <w:pPr>
              <w:pStyle w:val="TableContents"/>
              <w:bidi w:val="0"/>
              <w:spacing w:before="0" w:after="283"/>
              <w:jc w:val="left"/>
              <w:rPr/>
            </w:pPr>
            <w:r>
              <w:rPr/>
              <w:t>  </w:t>
            </w:r>
          </w:p>
        </w:tc>
        <w:tc>
          <w:tcPr>
            <w:tcW w:w="454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68" w:type="dxa"/>
            <w:tcBorders/>
          </w:tcPr>
          <w:p>
            <w:pPr>
              <w:pStyle w:val="TableContents"/>
              <w:bidi w:val="0"/>
              <w:spacing w:before="0" w:after="283"/>
              <w:jc w:val="left"/>
              <w:rPr>
                <w:sz w:val="4"/>
                <w:szCs w:val="4"/>
              </w:rPr>
            </w:pPr>
            <w:r>
              <w:rPr>
                <w:sz w:val="4"/>
                <w:szCs w:val="4"/>
              </w:rPr>
            </w:r>
          </w:p>
        </w:tc>
      </w:tr>
      <w:tr>
        <w:trPr>
          <w:trHeight w:val="240" w:hRule="atLeast"/>
        </w:trPr>
        <w:tc>
          <w:tcPr>
            <w:tcW w:w="3348" w:type="dxa"/>
            <w:tcBorders/>
            <w:vAlign w:val="center"/>
          </w:tcPr>
          <w:p>
            <w:pPr>
              <w:pStyle w:val="TableContents"/>
              <w:bidi w:val="0"/>
              <w:spacing w:before="0" w:after="283"/>
              <w:jc w:val="left"/>
              <w:rPr>
                <w:sz w:val="4"/>
                <w:szCs w:val="4"/>
              </w:rPr>
            </w:pPr>
            <w:r>
              <w:rPr>
                <w:sz w:val="4"/>
                <w:szCs w:val="4"/>
              </w:rPr>
            </w:r>
          </w:p>
        </w:tc>
        <w:tc>
          <w:tcPr>
            <w:tcW w:w="4669" w:type="dxa"/>
            <w:gridSpan w:val="2"/>
            <w:tcBorders/>
            <w:vAlign w:val="center"/>
          </w:tcPr>
          <w:p>
            <w:pPr>
              <w:pStyle w:val="TableContents"/>
              <w:bidi w:val="0"/>
              <w:spacing w:before="0" w:after="283"/>
              <w:jc w:val="left"/>
              <w:rPr>
                <w:sz w:val="4"/>
                <w:szCs w:val="4"/>
              </w:rPr>
            </w:pPr>
            <w:r>
              <w:rPr>
                <w:sz w:val="4"/>
                <w:szCs w:val="4"/>
              </w:rPr>
            </w:r>
          </w:p>
        </w:tc>
        <w:tc>
          <w:tcPr>
            <w:tcW w:w="2188" w:type="dxa"/>
            <w:gridSpan w:val="2"/>
            <w:tcBorders/>
            <w:vAlign w:val="center"/>
          </w:tcPr>
          <w:p>
            <w:pPr>
              <w:pStyle w:val="TableContents"/>
              <w:bidi w:val="0"/>
              <w:spacing w:before="0" w:after="283"/>
              <w:jc w:val="left"/>
              <w:rPr>
                <w:sz w:val="4"/>
                <w:szCs w:val="4"/>
              </w:rPr>
            </w:pPr>
            <w:r>
              <w:rPr>
                <w:sz w:val="4"/>
                <w:szCs w:val="4"/>
              </w:rPr>
            </w:r>
          </w:p>
        </w:tc>
      </w:tr>
      <w:tr>
        <w:trPr/>
        <w:tc>
          <w:tcPr>
            <w:tcW w:w="33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Kathryn Boor, Ph.D.</w:t>
            </w:r>
          </w:p>
        </w:tc>
        <w:tc>
          <w:tcPr>
            <w:tcW w:w="120" w:type="dxa"/>
            <w:tcBorders/>
            <w:vAlign w:val="bottom"/>
          </w:tcPr>
          <w:p>
            <w:pPr>
              <w:pStyle w:val="TableContents"/>
              <w:bidi w:val="0"/>
              <w:spacing w:before="0" w:after="283"/>
              <w:jc w:val="left"/>
              <w:rPr/>
            </w:pPr>
            <w:r>
              <w:rPr/>
              <w:t>  </w:t>
            </w:r>
          </w:p>
        </w:tc>
        <w:tc>
          <w:tcPr>
            <w:tcW w:w="4549" w:type="dxa"/>
            <w:tcBorders/>
          </w:tcPr>
          <w:p>
            <w:pPr>
              <w:pStyle w:val="TableContents"/>
              <w:bidi w:val="0"/>
              <w:spacing w:before="0" w:after="283"/>
              <w:jc w:val="left"/>
              <w:rPr/>
            </w:pPr>
            <w:r>
              <w:rPr/>
              <w:t>Director</w:t>
            </w:r>
          </w:p>
        </w:tc>
        <w:tc>
          <w:tcPr>
            <w:tcW w:w="120" w:type="dxa"/>
            <w:tcBorders/>
            <w:vAlign w:val="bottom"/>
          </w:tcPr>
          <w:p>
            <w:pPr>
              <w:pStyle w:val="TableContents"/>
              <w:bidi w:val="0"/>
              <w:spacing w:before="0" w:after="283"/>
              <w:jc w:val="left"/>
              <w:rPr/>
            </w:pPr>
            <w:r>
              <w:rPr/>
              <w:t>  </w:t>
            </w:r>
          </w:p>
        </w:tc>
        <w:tc>
          <w:tcPr>
            <w:tcW w:w="2068" w:type="dxa"/>
            <w:tcBorders/>
          </w:tcPr>
          <w:p>
            <w:pPr>
              <w:pStyle w:val="TableContents"/>
              <w:bidi w:val="0"/>
              <w:spacing w:before="0" w:after="283"/>
              <w:jc w:val="center"/>
              <w:rPr/>
            </w:pPr>
            <w:r>
              <w:rPr/>
              <w:t>July 28, 2026</w:t>
            </w:r>
          </w:p>
        </w:tc>
      </w:tr>
      <w:tr>
        <w:trPr/>
        <w:tc>
          <w:tcPr>
            <w:tcW w:w="3348" w:type="dxa"/>
            <w:tcBorders/>
          </w:tcPr>
          <w:p>
            <w:pPr>
              <w:pStyle w:val="TableContents"/>
              <w:bidi w:val="0"/>
              <w:spacing w:before="0" w:after="283"/>
              <w:jc w:val="left"/>
              <w:rPr/>
            </w:pPr>
            <w:r>
              <w:rPr/>
              <w:t>Kathryn Boor, Ph.D.</w:t>
            </w:r>
          </w:p>
        </w:tc>
        <w:tc>
          <w:tcPr>
            <w:tcW w:w="120" w:type="dxa"/>
            <w:tcBorders/>
            <w:vAlign w:val="bottom"/>
          </w:tcPr>
          <w:p>
            <w:pPr>
              <w:pStyle w:val="TableContents"/>
              <w:bidi w:val="0"/>
              <w:spacing w:before="0" w:after="283"/>
              <w:jc w:val="left"/>
              <w:rPr/>
            </w:pPr>
            <w:r>
              <w:rPr/>
              <w:t>  </w:t>
            </w:r>
          </w:p>
        </w:tc>
        <w:tc>
          <w:tcPr>
            <w:tcW w:w="454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68" w:type="dxa"/>
            <w:tcBorders/>
          </w:tcPr>
          <w:p>
            <w:pPr>
              <w:pStyle w:val="TableContents"/>
              <w:bidi w:val="0"/>
              <w:spacing w:before="0" w:after="283"/>
              <w:jc w:val="left"/>
              <w:rPr>
                <w:sz w:val="4"/>
                <w:szCs w:val="4"/>
              </w:rPr>
            </w:pPr>
            <w:r>
              <w:rPr>
                <w:sz w:val="4"/>
                <w:szCs w:val="4"/>
              </w:rPr>
            </w:r>
          </w:p>
        </w:tc>
      </w:tr>
      <w:tr>
        <w:trPr>
          <w:trHeight w:val="240" w:hRule="atLeast"/>
        </w:trPr>
        <w:tc>
          <w:tcPr>
            <w:tcW w:w="3348" w:type="dxa"/>
            <w:tcBorders/>
            <w:vAlign w:val="center"/>
          </w:tcPr>
          <w:p>
            <w:pPr>
              <w:pStyle w:val="TableContents"/>
              <w:bidi w:val="0"/>
              <w:spacing w:before="0" w:after="283"/>
              <w:jc w:val="left"/>
              <w:rPr>
                <w:sz w:val="4"/>
                <w:szCs w:val="4"/>
              </w:rPr>
            </w:pPr>
            <w:r>
              <w:rPr>
                <w:sz w:val="4"/>
                <w:szCs w:val="4"/>
              </w:rPr>
            </w:r>
          </w:p>
        </w:tc>
        <w:tc>
          <w:tcPr>
            <w:tcW w:w="4669" w:type="dxa"/>
            <w:gridSpan w:val="2"/>
            <w:tcBorders/>
            <w:vAlign w:val="center"/>
          </w:tcPr>
          <w:p>
            <w:pPr>
              <w:pStyle w:val="TableContents"/>
              <w:bidi w:val="0"/>
              <w:spacing w:before="0" w:after="283"/>
              <w:jc w:val="left"/>
              <w:rPr>
                <w:sz w:val="4"/>
                <w:szCs w:val="4"/>
              </w:rPr>
            </w:pPr>
            <w:r>
              <w:rPr>
                <w:sz w:val="4"/>
                <w:szCs w:val="4"/>
              </w:rPr>
            </w:r>
          </w:p>
        </w:tc>
        <w:tc>
          <w:tcPr>
            <w:tcW w:w="2188" w:type="dxa"/>
            <w:gridSpan w:val="2"/>
            <w:tcBorders/>
            <w:vAlign w:val="center"/>
          </w:tcPr>
          <w:p>
            <w:pPr>
              <w:pStyle w:val="TableContents"/>
              <w:bidi w:val="0"/>
              <w:spacing w:before="0" w:after="283"/>
              <w:jc w:val="left"/>
              <w:rPr>
                <w:sz w:val="4"/>
                <w:szCs w:val="4"/>
              </w:rPr>
            </w:pPr>
            <w:r>
              <w:rPr>
                <w:sz w:val="4"/>
                <w:szCs w:val="4"/>
              </w:rPr>
            </w:r>
          </w:p>
        </w:tc>
      </w:tr>
      <w:tr>
        <w:trPr/>
        <w:tc>
          <w:tcPr>
            <w:tcW w:w="33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Chambers</w:t>
            </w:r>
          </w:p>
        </w:tc>
        <w:tc>
          <w:tcPr>
            <w:tcW w:w="120" w:type="dxa"/>
            <w:tcBorders/>
            <w:vAlign w:val="bottom"/>
          </w:tcPr>
          <w:p>
            <w:pPr>
              <w:pStyle w:val="TableContents"/>
              <w:bidi w:val="0"/>
              <w:spacing w:before="0" w:after="283"/>
              <w:jc w:val="left"/>
              <w:rPr/>
            </w:pPr>
            <w:r>
              <w:rPr/>
              <w:t>  </w:t>
            </w:r>
          </w:p>
        </w:tc>
        <w:tc>
          <w:tcPr>
            <w:tcW w:w="4549" w:type="dxa"/>
            <w:tcBorders/>
          </w:tcPr>
          <w:p>
            <w:pPr>
              <w:pStyle w:val="TableContents"/>
              <w:bidi w:val="0"/>
              <w:spacing w:before="0" w:after="283"/>
              <w:jc w:val="left"/>
              <w:rPr/>
            </w:pPr>
            <w:r>
              <w:rPr/>
              <w:t>Director</w:t>
            </w:r>
          </w:p>
        </w:tc>
        <w:tc>
          <w:tcPr>
            <w:tcW w:w="120" w:type="dxa"/>
            <w:tcBorders/>
            <w:vAlign w:val="bottom"/>
          </w:tcPr>
          <w:p>
            <w:pPr>
              <w:pStyle w:val="TableContents"/>
              <w:bidi w:val="0"/>
              <w:spacing w:before="0" w:after="283"/>
              <w:jc w:val="left"/>
              <w:rPr/>
            </w:pPr>
            <w:r>
              <w:rPr/>
              <w:t>  </w:t>
            </w:r>
          </w:p>
        </w:tc>
        <w:tc>
          <w:tcPr>
            <w:tcW w:w="2068" w:type="dxa"/>
            <w:tcBorders/>
          </w:tcPr>
          <w:p>
            <w:pPr>
              <w:pStyle w:val="TableContents"/>
              <w:bidi w:val="0"/>
              <w:spacing w:before="0" w:after="283"/>
              <w:jc w:val="center"/>
              <w:rPr/>
            </w:pPr>
            <w:r>
              <w:rPr/>
              <w:t>July 28, 2026</w:t>
            </w:r>
          </w:p>
        </w:tc>
      </w:tr>
      <w:tr>
        <w:trPr/>
        <w:tc>
          <w:tcPr>
            <w:tcW w:w="3348" w:type="dxa"/>
            <w:tcBorders/>
          </w:tcPr>
          <w:p>
            <w:pPr>
              <w:pStyle w:val="TableContents"/>
              <w:bidi w:val="0"/>
              <w:spacing w:before="0" w:after="283"/>
              <w:jc w:val="left"/>
              <w:rPr/>
            </w:pPr>
            <w:r>
              <w:rPr/>
              <w:t>Michael Chambers</w:t>
            </w:r>
          </w:p>
        </w:tc>
        <w:tc>
          <w:tcPr>
            <w:tcW w:w="120" w:type="dxa"/>
            <w:tcBorders/>
            <w:vAlign w:val="bottom"/>
          </w:tcPr>
          <w:p>
            <w:pPr>
              <w:pStyle w:val="TableContents"/>
              <w:bidi w:val="0"/>
              <w:spacing w:before="0" w:after="283"/>
              <w:jc w:val="left"/>
              <w:rPr/>
            </w:pPr>
            <w:r>
              <w:rPr/>
              <w:t>  </w:t>
            </w:r>
          </w:p>
        </w:tc>
        <w:tc>
          <w:tcPr>
            <w:tcW w:w="454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68" w:type="dxa"/>
            <w:tcBorders/>
          </w:tcPr>
          <w:p>
            <w:pPr>
              <w:pStyle w:val="TableContents"/>
              <w:bidi w:val="0"/>
              <w:spacing w:before="0" w:after="283"/>
              <w:jc w:val="left"/>
              <w:rPr>
                <w:sz w:val="4"/>
                <w:szCs w:val="4"/>
              </w:rPr>
            </w:pPr>
            <w:r>
              <w:rPr>
                <w:sz w:val="4"/>
                <w:szCs w:val="4"/>
              </w:rPr>
            </w:r>
          </w:p>
        </w:tc>
      </w:tr>
      <w:tr>
        <w:trPr>
          <w:trHeight w:val="240" w:hRule="atLeast"/>
        </w:trPr>
        <w:tc>
          <w:tcPr>
            <w:tcW w:w="3348" w:type="dxa"/>
            <w:tcBorders/>
            <w:vAlign w:val="center"/>
          </w:tcPr>
          <w:p>
            <w:pPr>
              <w:pStyle w:val="TableContents"/>
              <w:bidi w:val="0"/>
              <w:spacing w:before="0" w:after="283"/>
              <w:jc w:val="left"/>
              <w:rPr>
                <w:sz w:val="4"/>
                <w:szCs w:val="4"/>
              </w:rPr>
            </w:pPr>
            <w:r>
              <w:rPr>
                <w:sz w:val="4"/>
                <w:szCs w:val="4"/>
              </w:rPr>
            </w:r>
          </w:p>
        </w:tc>
        <w:tc>
          <w:tcPr>
            <w:tcW w:w="4669" w:type="dxa"/>
            <w:gridSpan w:val="2"/>
            <w:tcBorders/>
            <w:vAlign w:val="center"/>
          </w:tcPr>
          <w:p>
            <w:pPr>
              <w:pStyle w:val="TableContents"/>
              <w:bidi w:val="0"/>
              <w:spacing w:before="0" w:after="283"/>
              <w:jc w:val="left"/>
              <w:rPr>
                <w:sz w:val="4"/>
                <w:szCs w:val="4"/>
              </w:rPr>
            </w:pPr>
            <w:r>
              <w:rPr>
                <w:sz w:val="4"/>
                <w:szCs w:val="4"/>
              </w:rPr>
            </w:r>
          </w:p>
        </w:tc>
        <w:tc>
          <w:tcPr>
            <w:tcW w:w="2188" w:type="dxa"/>
            <w:gridSpan w:val="2"/>
            <w:tcBorders/>
            <w:vAlign w:val="center"/>
          </w:tcPr>
          <w:p>
            <w:pPr>
              <w:pStyle w:val="TableContents"/>
              <w:bidi w:val="0"/>
              <w:spacing w:before="0" w:after="283"/>
              <w:jc w:val="left"/>
              <w:rPr>
                <w:sz w:val="4"/>
                <w:szCs w:val="4"/>
              </w:rPr>
            </w:pPr>
            <w:r>
              <w:rPr>
                <w:sz w:val="4"/>
                <w:szCs w:val="4"/>
              </w:rPr>
            </w:r>
          </w:p>
        </w:tc>
      </w:tr>
      <w:tr>
        <w:trPr/>
        <w:tc>
          <w:tcPr>
            <w:tcW w:w="33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Deirdre Connelly</w:t>
            </w:r>
          </w:p>
        </w:tc>
        <w:tc>
          <w:tcPr>
            <w:tcW w:w="120" w:type="dxa"/>
            <w:tcBorders/>
            <w:vAlign w:val="bottom"/>
          </w:tcPr>
          <w:p>
            <w:pPr>
              <w:pStyle w:val="TableContents"/>
              <w:bidi w:val="0"/>
              <w:spacing w:before="0" w:after="283"/>
              <w:jc w:val="left"/>
              <w:rPr/>
            </w:pPr>
            <w:r>
              <w:rPr/>
              <w:t>  </w:t>
            </w:r>
          </w:p>
        </w:tc>
        <w:tc>
          <w:tcPr>
            <w:tcW w:w="4549" w:type="dxa"/>
            <w:tcBorders/>
          </w:tcPr>
          <w:p>
            <w:pPr>
              <w:pStyle w:val="TableContents"/>
              <w:bidi w:val="0"/>
              <w:spacing w:before="0" w:after="283"/>
              <w:jc w:val="left"/>
              <w:rPr/>
            </w:pPr>
            <w:r>
              <w:rPr/>
              <w:t>Director</w:t>
            </w:r>
          </w:p>
        </w:tc>
        <w:tc>
          <w:tcPr>
            <w:tcW w:w="120" w:type="dxa"/>
            <w:tcBorders/>
            <w:vAlign w:val="bottom"/>
          </w:tcPr>
          <w:p>
            <w:pPr>
              <w:pStyle w:val="TableContents"/>
              <w:bidi w:val="0"/>
              <w:spacing w:before="0" w:after="283"/>
              <w:jc w:val="left"/>
              <w:rPr/>
            </w:pPr>
            <w:r>
              <w:rPr/>
              <w:t>  </w:t>
            </w:r>
          </w:p>
        </w:tc>
        <w:tc>
          <w:tcPr>
            <w:tcW w:w="2068" w:type="dxa"/>
            <w:tcBorders/>
          </w:tcPr>
          <w:p>
            <w:pPr>
              <w:pStyle w:val="TableContents"/>
              <w:bidi w:val="0"/>
              <w:spacing w:before="0" w:after="283"/>
              <w:jc w:val="center"/>
              <w:rPr/>
            </w:pPr>
            <w:r>
              <w:rPr/>
              <w:t>July 28, 2026</w:t>
            </w:r>
          </w:p>
        </w:tc>
      </w:tr>
      <w:tr>
        <w:trPr/>
        <w:tc>
          <w:tcPr>
            <w:tcW w:w="3348" w:type="dxa"/>
            <w:tcBorders/>
          </w:tcPr>
          <w:p>
            <w:pPr>
              <w:pStyle w:val="TableContents"/>
              <w:bidi w:val="0"/>
              <w:spacing w:before="0" w:after="283"/>
              <w:jc w:val="left"/>
              <w:rPr/>
            </w:pPr>
            <w:r>
              <w:rPr/>
              <w:t>Deirdre Connelly</w:t>
            </w:r>
          </w:p>
        </w:tc>
        <w:tc>
          <w:tcPr>
            <w:tcW w:w="120" w:type="dxa"/>
            <w:tcBorders/>
            <w:vAlign w:val="bottom"/>
          </w:tcPr>
          <w:p>
            <w:pPr>
              <w:pStyle w:val="TableContents"/>
              <w:bidi w:val="0"/>
              <w:spacing w:before="0" w:after="283"/>
              <w:jc w:val="left"/>
              <w:rPr/>
            </w:pPr>
            <w:r>
              <w:rPr/>
              <w:t>  </w:t>
            </w:r>
          </w:p>
        </w:tc>
        <w:tc>
          <w:tcPr>
            <w:tcW w:w="454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68" w:type="dxa"/>
            <w:tcBorders/>
          </w:tcPr>
          <w:p>
            <w:pPr>
              <w:pStyle w:val="TableContents"/>
              <w:bidi w:val="0"/>
              <w:spacing w:before="0" w:after="283"/>
              <w:jc w:val="left"/>
              <w:rPr>
                <w:sz w:val="4"/>
                <w:szCs w:val="4"/>
              </w:rPr>
            </w:pPr>
            <w:r>
              <w:rPr>
                <w:sz w:val="4"/>
                <w:szCs w:val="4"/>
              </w:rPr>
            </w:r>
          </w:p>
        </w:tc>
      </w:tr>
      <w:tr>
        <w:trPr>
          <w:trHeight w:val="240" w:hRule="atLeast"/>
        </w:trPr>
        <w:tc>
          <w:tcPr>
            <w:tcW w:w="3348" w:type="dxa"/>
            <w:tcBorders/>
            <w:vAlign w:val="center"/>
          </w:tcPr>
          <w:p>
            <w:pPr>
              <w:pStyle w:val="TableContents"/>
              <w:bidi w:val="0"/>
              <w:spacing w:before="0" w:after="283"/>
              <w:jc w:val="left"/>
              <w:rPr>
                <w:sz w:val="4"/>
                <w:szCs w:val="4"/>
              </w:rPr>
            </w:pPr>
            <w:r>
              <w:rPr>
                <w:sz w:val="4"/>
                <w:szCs w:val="4"/>
              </w:rPr>
            </w:r>
          </w:p>
        </w:tc>
        <w:tc>
          <w:tcPr>
            <w:tcW w:w="4669" w:type="dxa"/>
            <w:gridSpan w:val="2"/>
            <w:tcBorders/>
            <w:vAlign w:val="center"/>
          </w:tcPr>
          <w:p>
            <w:pPr>
              <w:pStyle w:val="TableContents"/>
              <w:bidi w:val="0"/>
              <w:spacing w:before="0" w:after="283"/>
              <w:jc w:val="left"/>
              <w:rPr>
                <w:sz w:val="4"/>
                <w:szCs w:val="4"/>
              </w:rPr>
            </w:pPr>
            <w:r>
              <w:rPr>
                <w:sz w:val="4"/>
                <w:szCs w:val="4"/>
              </w:rPr>
            </w:r>
          </w:p>
        </w:tc>
        <w:tc>
          <w:tcPr>
            <w:tcW w:w="2188" w:type="dxa"/>
            <w:gridSpan w:val="2"/>
            <w:tcBorders/>
            <w:vAlign w:val="center"/>
          </w:tcPr>
          <w:p>
            <w:pPr>
              <w:pStyle w:val="TableContents"/>
              <w:bidi w:val="0"/>
              <w:spacing w:before="0" w:after="283"/>
              <w:jc w:val="left"/>
              <w:rPr>
                <w:sz w:val="4"/>
                <w:szCs w:val="4"/>
              </w:rPr>
            </w:pPr>
            <w:r>
              <w:rPr>
                <w:sz w:val="4"/>
                <w:szCs w:val="4"/>
              </w:rPr>
            </w:r>
          </w:p>
        </w:tc>
      </w:tr>
      <w:tr>
        <w:trPr/>
        <w:tc>
          <w:tcPr>
            <w:tcW w:w="33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Stephen L. Mayo, Ph.D.</w:t>
            </w:r>
          </w:p>
        </w:tc>
        <w:tc>
          <w:tcPr>
            <w:tcW w:w="120" w:type="dxa"/>
            <w:tcBorders/>
            <w:vAlign w:val="bottom"/>
          </w:tcPr>
          <w:p>
            <w:pPr>
              <w:pStyle w:val="TableContents"/>
              <w:bidi w:val="0"/>
              <w:spacing w:before="0" w:after="283"/>
              <w:jc w:val="left"/>
              <w:rPr/>
            </w:pPr>
            <w:r>
              <w:rPr/>
              <w:t>  </w:t>
            </w:r>
          </w:p>
        </w:tc>
        <w:tc>
          <w:tcPr>
            <w:tcW w:w="4549" w:type="dxa"/>
            <w:tcBorders/>
          </w:tcPr>
          <w:p>
            <w:pPr>
              <w:pStyle w:val="TableContents"/>
              <w:bidi w:val="0"/>
              <w:spacing w:before="0" w:after="283"/>
              <w:jc w:val="left"/>
              <w:rPr/>
            </w:pPr>
            <w:r>
              <w:rPr/>
              <w:t>Director</w:t>
            </w:r>
          </w:p>
        </w:tc>
        <w:tc>
          <w:tcPr>
            <w:tcW w:w="120" w:type="dxa"/>
            <w:tcBorders/>
            <w:vAlign w:val="bottom"/>
          </w:tcPr>
          <w:p>
            <w:pPr>
              <w:pStyle w:val="TableContents"/>
              <w:bidi w:val="0"/>
              <w:spacing w:before="0" w:after="283"/>
              <w:jc w:val="left"/>
              <w:rPr/>
            </w:pPr>
            <w:r>
              <w:rPr/>
              <w:t>  </w:t>
            </w:r>
          </w:p>
        </w:tc>
        <w:tc>
          <w:tcPr>
            <w:tcW w:w="2068" w:type="dxa"/>
            <w:tcBorders/>
          </w:tcPr>
          <w:p>
            <w:pPr>
              <w:pStyle w:val="TableContents"/>
              <w:bidi w:val="0"/>
              <w:spacing w:before="0" w:after="283"/>
              <w:jc w:val="center"/>
              <w:rPr/>
            </w:pPr>
            <w:r>
              <w:rPr/>
              <w:t>July 28, 2026</w:t>
            </w:r>
          </w:p>
        </w:tc>
      </w:tr>
      <w:tr>
        <w:trPr/>
        <w:tc>
          <w:tcPr>
            <w:tcW w:w="3348" w:type="dxa"/>
            <w:tcBorders/>
          </w:tcPr>
          <w:p>
            <w:pPr>
              <w:pStyle w:val="TableContents"/>
              <w:bidi w:val="0"/>
              <w:spacing w:before="0" w:after="283"/>
              <w:jc w:val="left"/>
              <w:rPr/>
            </w:pPr>
            <w:r>
              <w:rPr/>
              <w:t>Stephen L. Mayo, Ph.D.</w:t>
            </w:r>
          </w:p>
        </w:tc>
        <w:tc>
          <w:tcPr>
            <w:tcW w:w="120" w:type="dxa"/>
            <w:tcBorders/>
            <w:vAlign w:val="bottom"/>
          </w:tcPr>
          <w:p>
            <w:pPr>
              <w:pStyle w:val="TableContents"/>
              <w:bidi w:val="0"/>
              <w:spacing w:before="0" w:after="283"/>
              <w:jc w:val="left"/>
              <w:rPr/>
            </w:pPr>
            <w:r>
              <w:rPr/>
              <w:t>  </w:t>
            </w:r>
          </w:p>
        </w:tc>
        <w:tc>
          <w:tcPr>
            <w:tcW w:w="454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68" w:type="dxa"/>
            <w:tcBorders/>
          </w:tcPr>
          <w:p>
            <w:pPr>
              <w:pStyle w:val="TableContents"/>
              <w:bidi w:val="0"/>
              <w:spacing w:before="0" w:after="283"/>
              <w:jc w:val="left"/>
              <w:rPr>
                <w:sz w:val="4"/>
                <w:szCs w:val="4"/>
              </w:rPr>
            </w:pPr>
            <w:r>
              <w:rPr>
                <w:sz w:val="4"/>
                <w:szCs w:val="4"/>
              </w:rPr>
            </w:r>
          </w:p>
        </w:tc>
      </w:tr>
      <w:tr>
        <w:trPr>
          <w:trHeight w:val="240" w:hRule="atLeast"/>
        </w:trPr>
        <w:tc>
          <w:tcPr>
            <w:tcW w:w="3348" w:type="dxa"/>
            <w:tcBorders/>
            <w:vAlign w:val="center"/>
          </w:tcPr>
          <w:p>
            <w:pPr>
              <w:pStyle w:val="TableContents"/>
              <w:bidi w:val="0"/>
              <w:spacing w:before="0" w:after="283"/>
              <w:jc w:val="left"/>
              <w:rPr>
                <w:sz w:val="4"/>
                <w:szCs w:val="4"/>
              </w:rPr>
            </w:pPr>
            <w:r>
              <w:rPr>
                <w:sz w:val="4"/>
                <w:szCs w:val="4"/>
              </w:rPr>
            </w:r>
          </w:p>
        </w:tc>
        <w:tc>
          <w:tcPr>
            <w:tcW w:w="4669" w:type="dxa"/>
            <w:gridSpan w:val="2"/>
            <w:tcBorders/>
            <w:vAlign w:val="center"/>
          </w:tcPr>
          <w:p>
            <w:pPr>
              <w:pStyle w:val="TableContents"/>
              <w:bidi w:val="0"/>
              <w:spacing w:before="0" w:after="283"/>
              <w:jc w:val="left"/>
              <w:rPr>
                <w:sz w:val="4"/>
                <w:szCs w:val="4"/>
              </w:rPr>
            </w:pPr>
            <w:r>
              <w:rPr>
                <w:sz w:val="4"/>
                <w:szCs w:val="4"/>
              </w:rPr>
            </w:r>
          </w:p>
        </w:tc>
        <w:tc>
          <w:tcPr>
            <w:tcW w:w="2188" w:type="dxa"/>
            <w:gridSpan w:val="2"/>
            <w:tcBorders/>
            <w:vAlign w:val="center"/>
          </w:tcPr>
          <w:p>
            <w:pPr>
              <w:pStyle w:val="TableContents"/>
              <w:bidi w:val="0"/>
              <w:spacing w:before="0" w:after="283"/>
              <w:jc w:val="left"/>
              <w:rPr>
                <w:sz w:val="4"/>
                <w:szCs w:val="4"/>
              </w:rPr>
            </w:pPr>
            <w:r>
              <w:rPr>
                <w:sz w:val="4"/>
                <w:szCs w:val="4"/>
              </w:rPr>
            </w:r>
          </w:p>
        </w:tc>
      </w:tr>
      <w:tr>
        <w:trPr/>
        <w:tc>
          <w:tcPr>
            <w:tcW w:w="33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Claude Nicaise, M.D.</w:t>
            </w:r>
          </w:p>
        </w:tc>
        <w:tc>
          <w:tcPr>
            <w:tcW w:w="120" w:type="dxa"/>
            <w:tcBorders/>
            <w:vAlign w:val="bottom"/>
          </w:tcPr>
          <w:p>
            <w:pPr>
              <w:pStyle w:val="TableContents"/>
              <w:bidi w:val="0"/>
              <w:spacing w:before="0" w:after="283"/>
              <w:jc w:val="left"/>
              <w:rPr/>
            </w:pPr>
            <w:r>
              <w:rPr/>
              <w:t>  </w:t>
            </w:r>
          </w:p>
        </w:tc>
        <w:tc>
          <w:tcPr>
            <w:tcW w:w="4549" w:type="dxa"/>
            <w:tcBorders/>
          </w:tcPr>
          <w:p>
            <w:pPr>
              <w:pStyle w:val="TableContents"/>
              <w:bidi w:val="0"/>
              <w:spacing w:before="0" w:after="283"/>
              <w:jc w:val="left"/>
              <w:rPr/>
            </w:pPr>
            <w:r>
              <w:rPr/>
              <w:t>Director</w:t>
            </w:r>
          </w:p>
        </w:tc>
        <w:tc>
          <w:tcPr>
            <w:tcW w:w="120" w:type="dxa"/>
            <w:tcBorders/>
            <w:vAlign w:val="bottom"/>
          </w:tcPr>
          <w:p>
            <w:pPr>
              <w:pStyle w:val="TableContents"/>
              <w:bidi w:val="0"/>
              <w:spacing w:before="0" w:after="283"/>
              <w:jc w:val="left"/>
              <w:rPr/>
            </w:pPr>
            <w:r>
              <w:rPr/>
              <w:t>  </w:t>
            </w:r>
          </w:p>
        </w:tc>
        <w:tc>
          <w:tcPr>
            <w:tcW w:w="2068" w:type="dxa"/>
            <w:tcBorders/>
          </w:tcPr>
          <w:p>
            <w:pPr>
              <w:pStyle w:val="TableContents"/>
              <w:bidi w:val="0"/>
              <w:spacing w:before="0" w:after="283"/>
              <w:jc w:val="center"/>
              <w:rPr/>
            </w:pPr>
            <w:r>
              <w:rPr/>
              <w:t>July 28, 2026</w:t>
            </w:r>
          </w:p>
        </w:tc>
      </w:tr>
      <w:tr>
        <w:trPr/>
        <w:tc>
          <w:tcPr>
            <w:tcW w:w="3348" w:type="dxa"/>
            <w:tcBorders/>
          </w:tcPr>
          <w:p>
            <w:pPr>
              <w:pStyle w:val="TableContents"/>
              <w:bidi w:val="0"/>
              <w:spacing w:before="0" w:after="283"/>
              <w:jc w:val="left"/>
              <w:rPr/>
            </w:pPr>
            <w:r>
              <w:rPr/>
              <w:t>Claude Nicaise, M.D.</w:t>
            </w:r>
          </w:p>
        </w:tc>
        <w:tc>
          <w:tcPr>
            <w:tcW w:w="120" w:type="dxa"/>
            <w:tcBorders/>
            <w:vAlign w:val="bottom"/>
          </w:tcPr>
          <w:p>
            <w:pPr>
              <w:pStyle w:val="TableContents"/>
              <w:bidi w:val="0"/>
              <w:spacing w:before="0" w:after="283"/>
              <w:jc w:val="left"/>
              <w:rPr/>
            </w:pPr>
            <w:r>
              <w:rPr/>
              <w:t>  </w:t>
            </w:r>
          </w:p>
        </w:tc>
        <w:tc>
          <w:tcPr>
            <w:tcW w:w="454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68" w:type="dxa"/>
            <w:tcBorders/>
          </w:tcPr>
          <w:p>
            <w:pPr>
              <w:pStyle w:val="TableContents"/>
              <w:bidi w:val="0"/>
              <w:spacing w:before="0" w:after="283"/>
              <w:jc w:val="left"/>
              <w:rPr>
                <w:sz w:val="4"/>
                <w:szCs w:val="4"/>
              </w:rPr>
            </w:pPr>
            <w:r>
              <w:rPr>
                <w:sz w:val="4"/>
                <w:szCs w:val="4"/>
              </w:rPr>
            </w:r>
          </w:p>
        </w:tc>
      </w:tr>
      <w:tr>
        <w:trPr>
          <w:trHeight w:val="240" w:hRule="atLeast"/>
        </w:trPr>
        <w:tc>
          <w:tcPr>
            <w:tcW w:w="3348" w:type="dxa"/>
            <w:tcBorders/>
            <w:vAlign w:val="center"/>
          </w:tcPr>
          <w:p>
            <w:pPr>
              <w:pStyle w:val="TableContents"/>
              <w:bidi w:val="0"/>
              <w:spacing w:before="0" w:after="283"/>
              <w:jc w:val="left"/>
              <w:rPr>
                <w:sz w:val="4"/>
                <w:szCs w:val="4"/>
              </w:rPr>
            </w:pPr>
            <w:r>
              <w:rPr>
                <w:sz w:val="4"/>
                <w:szCs w:val="4"/>
              </w:rPr>
            </w:r>
          </w:p>
        </w:tc>
        <w:tc>
          <w:tcPr>
            <w:tcW w:w="4669" w:type="dxa"/>
            <w:gridSpan w:val="2"/>
            <w:tcBorders/>
            <w:vAlign w:val="center"/>
          </w:tcPr>
          <w:p>
            <w:pPr>
              <w:pStyle w:val="TableContents"/>
              <w:bidi w:val="0"/>
              <w:spacing w:before="0" w:after="283"/>
              <w:jc w:val="left"/>
              <w:rPr>
                <w:sz w:val="4"/>
                <w:szCs w:val="4"/>
              </w:rPr>
            </w:pPr>
            <w:r>
              <w:rPr>
                <w:sz w:val="4"/>
                <w:szCs w:val="4"/>
              </w:rPr>
            </w:r>
          </w:p>
        </w:tc>
        <w:tc>
          <w:tcPr>
            <w:tcW w:w="2188" w:type="dxa"/>
            <w:gridSpan w:val="2"/>
            <w:tcBorders/>
            <w:vAlign w:val="center"/>
          </w:tcPr>
          <w:p>
            <w:pPr>
              <w:pStyle w:val="TableContents"/>
              <w:bidi w:val="0"/>
              <w:spacing w:before="0" w:after="283"/>
              <w:jc w:val="left"/>
              <w:rPr>
                <w:sz w:val="4"/>
                <w:szCs w:val="4"/>
              </w:rPr>
            </w:pPr>
            <w:r>
              <w:rPr>
                <w:sz w:val="4"/>
                <w:szCs w:val="4"/>
              </w:rPr>
            </w:r>
          </w:p>
        </w:tc>
      </w:tr>
      <w:tr>
        <w:trPr/>
        <w:tc>
          <w:tcPr>
            <w:tcW w:w="33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Hans Wigzell, M.D., Ph.D.</w:t>
            </w:r>
          </w:p>
        </w:tc>
        <w:tc>
          <w:tcPr>
            <w:tcW w:w="120" w:type="dxa"/>
            <w:tcBorders/>
            <w:vAlign w:val="bottom"/>
          </w:tcPr>
          <w:p>
            <w:pPr>
              <w:pStyle w:val="TableContents"/>
              <w:bidi w:val="0"/>
              <w:spacing w:before="0" w:after="283"/>
              <w:jc w:val="left"/>
              <w:rPr/>
            </w:pPr>
            <w:r>
              <w:rPr/>
              <w:t>  </w:t>
            </w:r>
          </w:p>
        </w:tc>
        <w:tc>
          <w:tcPr>
            <w:tcW w:w="4549" w:type="dxa"/>
            <w:tcBorders/>
          </w:tcPr>
          <w:p>
            <w:pPr>
              <w:pStyle w:val="TableContents"/>
              <w:bidi w:val="0"/>
              <w:spacing w:before="0" w:after="283"/>
              <w:jc w:val="left"/>
              <w:rPr/>
            </w:pPr>
            <w:r>
              <w:rPr/>
              <w:t>Director</w:t>
            </w:r>
          </w:p>
        </w:tc>
        <w:tc>
          <w:tcPr>
            <w:tcW w:w="120" w:type="dxa"/>
            <w:tcBorders/>
            <w:vAlign w:val="bottom"/>
          </w:tcPr>
          <w:p>
            <w:pPr>
              <w:pStyle w:val="TableContents"/>
              <w:bidi w:val="0"/>
              <w:spacing w:before="0" w:after="283"/>
              <w:jc w:val="left"/>
              <w:rPr/>
            </w:pPr>
            <w:r>
              <w:rPr/>
              <w:t>  </w:t>
            </w:r>
          </w:p>
        </w:tc>
        <w:tc>
          <w:tcPr>
            <w:tcW w:w="2068" w:type="dxa"/>
            <w:tcBorders/>
          </w:tcPr>
          <w:p>
            <w:pPr>
              <w:pStyle w:val="TableContents"/>
              <w:bidi w:val="0"/>
              <w:spacing w:before="0" w:after="283"/>
              <w:jc w:val="center"/>
              <w:rPr/>
            </w:pPr>
            <w:r>
              <w:rPr/>
              <w:t>July 28, 2026</w:t>
            </w:r>
          </w:p>
        </w:tc>
      </w:tr>
      <w:tr>
        <w:trPr/>
        <w:tc>
          <w:tcPr>
            <w:tcW w:w="3348" w:type="dxa"/>
            <w:tcBorders/>
          </w:tcPr>
          <w:p>
            <w:pPr>
              <w:pStyle w:val="TableContents"/>
              <w:bidi w:val="0"/>
              <w:spacing w:before="0" w:after="283"/>
              <w:jc w:val="left"/>
              <w:rPr/>
            </w:pPr>
            <w:r>
              <w:rPr/>
              <w:t>Hans Wigzell, M.D., Ph.D.</w:t>
            </w:r>
          </w:p>
        </w:tc>
        <w:tc>
          <w:tcPr>
            <w:tcW w:w="120" w:type="dxa"/>
            <w:tcBorders/>
            <w:vAlign w:val="bottom"/>
          </w:tcPr>
          <w:p>
            <w:pPr>
              <w:pStyle w:val="TableContents"/>
              <w:bidi w:val="0"/>
              <w:spacing w:before="0" w:after="283"/>
              <w:jc w:val="left"/>
              <w:rPr/>
            </w:pPr>
            <w:r>
              <w:rPr/>
              <w:t>  </w:t>
            </w:r>
          </w:p>
        </w:tc>
        <w:tc>
          <w:tcPr>
            <w:tcW w:w="454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6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3" w:name="d165682dex43.htm"/>
      <w:bookmarkStart w:id="4" w:name="ksd165682dex43"/>
      <w:bookmarkEnd w:id="3"/>
      <w:bookmarkEnd w:id="4"/>
      <w:r>
        <w:rPr>
          <w:rFonts w:ascii="Times New Roman" w:hAnsi="Times New Roman"/>
          <w:b/>
          <w:sz w:val="20"/>
        </w:rPr>
        <w:t xml:space="preserve">Exhibit 4.3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AMENDMENT NO. 2 </w:t>
      </w:r>
    </w:p>
    <w:p>
      <w:pPr>
        <w:pStyle w:val="TextBody"/>
        <w:bidi w:val="0"/>
        <w:spacing w:before="0" w:after="0"/>
        <w:jc w:val="center"/>
        <w:rPr>
          <w:rFonts w:ascii="Times New Roman" w:hAnsi="Times New Roman"/>
          <w:b/>
          <w:sz w:val="20"/>
        </w:rPr>
      </w:pPr>
      <w:r>
        <w:rPr>
          <w:rFonts w:ascii="Times New Roman" w:hAnsi="Times New Roman"/>
          <w:b/>
          <w:sz w:val="20"/>
        </w:rPr>
        <w:t xml:space="preserve">TO THE </w:t>
      </w:r>
    </w:p>
    <w:p>
      <w:pPr>
        <w:pStyle w:val="TextBody"/>
        <w:bidi w:val="0"/>
        <w:spacing w:before="0" w:after="0"/>
        <w:jc w:val="center"/>
        <w:rPr>
          <w:rFonts w:ascii="Times New Roman" w:hAnsi="Times New Roman"/>
          <w:b/>
          <w:sz w:val="20"/>
        </w:rPr>
      </w:pPr>
      <w:r>
        <w:rPr>
          <w:rFonts w:ascii="Times New Roman" w:hAnsi="Times New Roman"/>
          <w:b/>
          <w:sz w:val="20"/>
        </w:rPr>
        <w:t xml:space="preserve">SAREPTA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2024 EMPLOYMENT COMMENCEMENT INCENTIVE PLAN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Sarepta Therapeutics, Inc. (the “</w:t>
      </w:r>
      <w:r>
        <w:rPr>
          <w:rFonts w:ascii="Times New Roman" w:hAnsi="Times New Roman"/>
          <w:sz w:val="20"/>
          <w:u w:val="single"/>
        </w:rPr>
        <w:t>Company</w:t>
      </w:r>
      <w:r>
        <w:rPr>
          <w:rFonts w:ascii="Times New Roman" w:hAnsi="Times New Roman"/>
          <w:sz w:val="20"/>
        </w:rPr>
        <w:t>”) previously adopted and approved the 2024 Employment Commencement Incentive Plan (the “</w:t>
      </w:r>
      <w:r>
        <w:rPr>
          <w:rFonts w:ascii="Times New Roman" w:hAnsi="Times New Roman"/>
          <w:sz w:val="20"/>
          <w:u w:val="single"/>
        </w:rPr>
        <w:t>Plan</w:t>
      </w:r>
      <w:r>
        <w:rPr>
          <w:rFonts w:ascii="Times New Roman" w:hAnsi="Times New Roman"/>
          <w:sz w:val="20"/>
        </w:rPr>
        <w:t xml:space="preserve">”) as an inducement stock plan under Nasdaq Stock Market Rule 5635(c)(4) to, among other things, attract and retain the best candidates for positions of substantial responsibility upon whose judgment, interest, and special effort the successful conduct of the Company’s operation will be largely dependent;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Plan was previously amended by that certain Amendment No. 1, approved by the Board of Directors of the Company (the “</w:t>
      </w:r>
      <w:r>
        <w:rPr>
          <w:rFonts w:ascii="Times New Roman" w:hAnsi="Times New Roman"/>
          <w:sz w:val="20"/>
          <w:u w:val="single"/>
        </w:rPr>
        <w:t>Board</w:t>
      </w:r>
      <w:r>
        <w:rPr>
          <w:rFonts w:ascii="Times New Roman" w:hAnsi="Times New Roman"/>
          <w:sz w:val="20"/>
        </w:rPr>
        <w:t xml:space="preserve">”) on June 7, 2024;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pursuant to Sections 19(a) and (b) of the Plan, the “Administrator” (defined under the Plan as the Board of Directors of the Company (the “</w:t>
      </w:r>
      <w:r>
        <w:rPr>
          <w:rFonts w:ascii="Times New Roman" w:hAnsi="Times New Roman"/>
          <w:sz w:val="20"/>
          <w:u w:val="single"/>
        </w:rPr>
        <w:t>Board</w:t>
      </w:r>
      <w:r>
        <w:rPr>
          <w:rFonts w:ascii="Times New Roman" w:hAnsi="Times New Roman"/>
          <w:sz w:val="20"/>
        </w:rPr>
        <w:t xml:space="preserve">”) or any of its committees) may amend the Plan from time to time without stockholder approval;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as Administrator, has determined that it is in the best interests of the Company and its stockholders to amend the Plan. </w:t>
      </w:r>
    </w:p>
    <w:p>
      <w:pPr>
        <w:pStyle w:val="TextBody"/>
        <w:bidi w:val="0"/>
        <w:spacing w:before="240" w:after="0"/>
        <w:jc w:val="left"/>
        <w:rPr>
          <w:rFonts w:ascii="Times New Roman" w:hAnsi="Times New Roman"/>
          <w:sz w:val="20"/>
        </w:rPr>
      </w:pPr>
      <w:r>
        <w:rPr>
          <w:rFonts w:ascii="Times New Roman" w:hAnsi="Times New Roman"/>
          <w:b/>
          <w:sz w:val="20"/>
        </w:rPr>
        <w:t>NOW, THEREFORE, BE IT RESOLVED</w:t>
      </w:r>
      <w:r>
        <w:rPr>
          <w:rFonts w:ascii="Times New Roman" w:hAnsi="Times New Roman"/>
          <w:sz w:val="20"/>
        </w:rPr>
        <w:t xml:space="preserve">, the Plan is hereby amended, effective April 22, 2026, the date of approval by the Board,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3(a) of the Plan, entitled “Stock Subject to the Plan,” shall be replaced in its entirety by the following: </w:t>
            </w:r>
          </w:p>
        </w:tc>
      </w:tr>
    </w:tbl>
    <w:p>
      <w:pPr>
        <w:pStyle w:val="TextBody"/>
        <w:bidi w:val="0"/>
        <w:spacing w:before="120" w:after="0"/>
        <w:jc w:val="left"/>
        <w:rPr/>
      </w:pPr>
      <w:r>
        <w:rPr/>
        <w:t>“</w:t>
      </w:r>
      <w:r>
        <w:rPr>
          <w:rFonts w:ascii="Times New Roman" w:hAnsi="Times New Roman"/>
          <w:sz w:val="20"/>
        </w:rPr>
        <w:t xml:space="preserve">Subject to the provisions of Section 14(a) of the Plan, the maximum aggregate number of Shares that may be subject to Awards issued under the Plan is 6,185,308 Shares, which reflects (i) 500,000 new Shares subject to Amendment No. 1 of the Plan, dated June 7, 2024, (ii) 637,817 Shares which had been available for issuance and were not issued or subject to outstanding awards as of March 29, 2024 under the Prior Plan and (iii) 5,047,491 Shares subject to outstanding awards under the Prior Plan as of March 29, 2024 that may expire or otherwise terminate without having been exercised in full, or are forfeited to the Company and would have become available again for issuance under the terms of the Prior Plan; provided, however, that such aggregate number of Shares available for issuance under the Plan shall be reduced by 1.26 shares for each Share delivered in settlement of any Full Value Award. The Shares may be authorized, but unissued, or reacquired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modified herein, the Plan is hereby specifically ratified and affirmed.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Amendment No. 2 to the Plan is adopted by the Board, effective as of the date of approval by the Board.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this Amendment has been executed by its duly authorized officer on April 22, 2026. </w:t>
      </w:r>
    </w:p>
    <w:p>
      <w:pPr>
        <w:pStyle w:val="TextBody"/>
        <w:bidi w:val="0"/>
        <w:spacing w:before="0" w:after="0"/>
        <w:jc w:val="right"/>
        <w:rPr>
          <w:rFonts w:ascii="Times New Roman" w:hAnsi="Times New Roman"/>
          <w:b/>
          <w:sz w:val="20"/>
        </w:rPr>
      </w:pPr>
      <w:bookmarkStart w:id="5" w:name="d165682dex44.htm"/>
      <w:bookmarkStart w:id="6" w:name="ksd165682dex44"/>
      <w:bookmarkEnd w:id="5"/>
      <w:bookmarkEnd w:id="6"/>
      <w:r>
        <w:rPr>
          <w:rFonts w:ascii="Times New Roman" w:hAnsi="Times New Roman"/>
          <w:b/>
          <w:sz w:val="20"/>
        </w:rPr>
        <w:t xml:space="preserve">Exhibit 4.4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AMENDMENT NO. 3 </w:t>
      </w:r>
    </w:p>
    <w:p>
      <w:pPr>
        <w:pStyle w:val="TextBody"/>
        <w:bidi w:val="0"/>
        <w:spacing w:before="0" w:after="0"/>
        <w:jc w:val="center"/>
        <w:rPr>
          <w:rFonts w:ascii="Times New Roman" w:hAnsi="Times New Roman"/>
          <w:b/>
          <w:sz w:val="20"/>
        </w:rPr>
      </w:pPr>
      <w:r>
        <w:rPr>
          <w:rFonts w:ascii="Times New Roman" w:hAnsi="Times New Roman"/>
          <w:b/>
          <w:sz w:val="20"/>
        </w:rPr>
        <w:t xml:space="preserve">TO THE </w:t>
      </w:r>
    </w:p>
    <w:p>
      <w:pPr>
        <w:pStyle w:val="TextBody"/>
        <w:bidi w:val="0"/>
        <w:spacing w:before="0" w:after="0"/>
        <w:jc w:val="center"/>
        <w:rPr>
          <w:rFonts w:ascii="Times New Roman" w:hAnsi="Times New Roman"/>
          <w:b/>
          <w:sz w:val="20"/>
        </w:rPr>
      </w:pPr>
      <w:r>
        <w:rPr>
          <w:rFonts w:ascii="Times New Roman" w:hAnsi="Times New Roman"/>
          <w:b/>
          <w:sz w:val="20"/>
        </w:rPr>
        <w:t xml:space="preserve">SAREPTA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2024 EMPLOYMENT COMMENCEMENT INCENTIVE PLAN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Sarepta Therapeutics, Inc. (the “</w:t>
      </w:r>
      <w:r>
        <w:rPr>
          <w:rFonts w:ascii="Times New Roman" w:hAnsi="Times New Roman"/>
          <w:sz w:val="20"/>
          <w:u w:val="single"/>
        </w:rPr>
        <w:t>Company</w:t>
      </w:r>
      <w:r>
        <w:rPr>
          <w:rFonts w:ascii="Times New Roman" w:hAnsi="Times New Roman"/>
          <w:sz w:val="20"/>
        </w:rPr>
        <w:t>”) previously adopted and approved the 2024 Employment Commencement Incentive Plan (the “</w:t>
      </w:r>
      <w:r>
        <w:rPr>
          <w:rFonts w:ascii="Times New Roman" w:hAnsi="Times New Roman"/>
          <w:sz w:val="20"/>
          <w:u w:val="single"/>
        </w:rPr>
        <w:t>Plan</w:t>
      </w:r>
      <w:r>
        <w:rPr>
          <w:rFonts w:ascii="Times New Roman" w:hAnsi="Times New Roman"/>
          <w:sz w:val="20"/>
        </w:rPr>
        <w:t xml:space="preserve">”) as an inducement stock plan under Nasdaq Stock Market Rule 5635(c)(4) to, among other things, attract and retain the best candidates for positions of substantial responsibility upon whose judgment, interest, and special effort the successful conduct of the Company’s operation will be largely dependent;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Plan was previously amended by that certain Amendment No. 1, approved by the Board of Directors of the Company (the “</w:t>
      </w:r>
      <w:r>
        <w:rPr>
          <w:rFonts w:ascii="Times New Roman" w:hAnsi="Times New Roman"/>
          <w:sz w:val="20"/>
          <w:u w:val="single"/>
        </w:rPr>
        <w:t>Board</w:t>
      </w:r>
      <w:r>
        <w:rPr>
          <w:rFonts w:ascii="Times New Roman" w:hAnsi="Times New Roman"/>
          <w:sz w:val="20"/>
        </w:rPr>
        <w:t xml:space="preserve">”) on June 7, 2024, and that certain Amendment No. 2, approved by the Board on April 22, 2026;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pursuant to Sections 19(a) and (b) of the Plan, the “Administrator” (defined under the Plan as the Board of Directors of the Company (the “</w:t>
      </w:r>
      <w:r>
        <w:rPr>
          <w:rFonts w:ascii="Times New Roman" w:hAnsi="Times New Roman"/>
          <w:sz w:val="20"/>
          <w:u w:val="single"/>
        </w:rPr>
        <w:t>Board</w:t>
      </w:r>
      <w:r>
        <w:rPr>
          <w:rFonts w:ascii="Times New Roman" w:hAnsi="Times New Roman"/>
          <w:sz w:val="20"/>
        </w:rPr>
        <w:t xml:space="preserve">”) or any of its committees) may amend the Plan from time to time without stockholder approval;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as Administrator, has determined that it is in the best interests of the Company and its stockholders to amend the Plan to increase the number of authorized shares under the Plan by 2,500,000 shares of common stock of the Company, as authorized under the Plan.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the Plan is hereby amended, effective July 27, 2026, the date of approval by the Board,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3(a) of the Plan, entitled “Stock Subject to the Plan,” shall be replaced in its entirety by the following: </w:t>
            </w:r>
          </w:p>
        </w:tc>
      </w:tr>
    </w:tbl>
    <w:p>
      <w:pPr>
        <w:pStyle w:val="TextBody"/>
        <w:bidi w:val="0"/>
        <w:spacing w:before="120" w:after="0"/>
        <w:jc w:val="left"/>
        <w:rPr/>
      </w:pPr>
      <w:r>
        <w:rPr/>
        <w:t>“</w:t>
      </w:r>
      <w:r>
        <w:rPr>
          <w:rFonts w:ascii="Times New Roman" w:hAnsi="Times New Roman"/>
          <w:sz w:val="20"/>
        </w:rPr>
        <w:t xml:space="preserve">Subject to the provisions of Section 14(a) of the Plan, the maximum aggregate number of Shares that may be subject to Awards issued under the Plan is 8,685,308 Shares, which reflects (i) 2,500,000 new Shares subject to Amendment No. 3 of the Plan, dated July 27, 2026, (ii) 500,000 new Shares subject to Amendment No. 1 of the Plan, dated June 7, 2024, (iii) 637,817 Shares which had been available for issuance and were not issued or subject to outstanding awards as of March 29, 2024 under the Prior Plan and (iv) 5,047,491 Shares subject to outstanding awards under the Prior Plan as of March 29, 2024 that may expire or otherwise terminate without having been exercised in full, or are forfeited to the Company and would have become available again for issuance under the terms of the Prior Plan; provided, however, that such aggregate number of Shares available for issuance under the Plan shall be reduced by 1.26 shares for each Share delivered in settlement of any Full Value Award. The Shares may be authorized, but unissued, or reacquired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modified herein, the Plan is hereby specifically ratified and affirmed.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Amendment No. 3 to the Plan is adopted by the Board, effective as of the date of approval by the Board.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this Amendment has been executed by its duly authorized officer on July 27, 2026. </w:t>
      </w:r>
    </w:p>
    <w:p>
      <w:pPr>
        <w:pStyle w:val="TextBody"/>
        <w:bidi w:val="0"/>
        <w:spacing w:before="0" w:after="0"/>
        <w:jc w:val="right"/>
        <w:rPr>
          <w:rFonts w:ascii="Times New Roman" w:hAnsi="Times New Roman"/>
          <w:b/>
          <w:sz w:val="20"/>
        </w:rPr>
      </w:pPr>
      <w:bookmarkStart w:id="7" w:name="d165682dex51.htm"/>
      <w:bookmarkStart w:id="8" w:name="ksd165682dex51"/>
      <w:bookmarkEnd w:id="7"/>
      <w:bookmarkEnd w:id="8"/>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38"/>
        <w:gridCol w:w="109"/>
        <w:gridCol w:w="8958"/>
      </w:tblGrid>
      <w:tr>
        <w:trPr/>
        <w:tc>
          <w:tcPr>
            <w:tcW w:w="113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958" w:type="dxa"/>
            <w:tcBorders/>
            <w:vAlign w:val="center"/>
          </w:tcPr>
          <w:p>
            <w:pPr>
              <w:pStyle w:val="TableContents"/>
              <w:bidi w:val="0"/>
              <w:spacing w:before="0" w:after="283"/>
              <w:jc w:val="left"/>
              <w:rPr>
                <w:sz w:val="4"/>
                <w:szCs w:val="4"/>
              </w:rPr>
            </w:pPr>
            <w:r>
              <w:rPr>
                <w:sz w:val="4"/>
                <w:szCs w:val="4"/>
              </w:rPr>
            </w:r>
          </w:p>
        </w:tc>
      </w:tr>
      <w:tr>
        <w:trPr/>
        <w:tc>
          <w:tcPr>
            <w:tcW w:w="1138" w:type="dxa"/>
            <w:vMerge w:val="restart"/>
            <w:tcBorders/>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714375"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9"/>
                          <a:stretch>
                            <a:fillRect/>
                          </a:stretch>
                        </pic:blipFill>
                        <pic:spPr bwMode="auto">
                          <a:xfrm>
                            <a:off x="0" y="0"/>
                            <a:ext cx="714375" cy="895350"/>
                          </a:xfrm>
                          <a:prstGeom prst="rect">
                            <a:avLst/>
                          </a:prstGeom>
                        </pic:spPr>
                      </pic:pic>
                    </a:graphicData>
                  </a:graphic>
                </wp:inline>
              </w:drawing>
            </w:r>
            <w:r>
              <w:rPr/>
              <w:t xml:space="preserve"> </w:t>
            </w:r>
          </w:p>
        </w:tc>
        <w:tc>
          <w:tcPr>
            <w:tcW w:w="109" w:type="dxa"/>
            <w:tcBorders/>
            <w:vAlign w:val="bottom"/>
          </w:tcPr>
          <w:p>
            <w:pPr>
              <w:pStyle w:val="TableContents"/>
              <w:bidi w:val="0"/>
              <w:spacing w:before="0" w:after="283"/>
              <w:jc w:val="left"/>
              <w:rPr/>
            </w:pPr>
            <w:r>
              <w:rPr/>
              <w:t> </w:t>
            </w:r>
          </w:p>
        </w:tc>
        <w:tc>
          <w:tcPr>
            <w:tcW w:w="8958" w:type="dxa"/>
            <w:tcBorders/>
            <w:vAlign w:val="bottom"/>
          </w:tcPr>
          <w:p>
            <w:pPr>
              <w:pStyle w:val="TableContents"/>
              <w:bidi w:val="0"/>
              <w:spacing w:before="0" w:after="283"/>
              <w:jc w:val="left"/>
              <w:rPr/>
            </w:pPr>
            <w:r>
              <w:rPr/>
              <w:t>ROPES &amp; GRAY LLP</w:t>
            </w:r>
          </w:p>
        </w:tc>
      </w:tr>
      <w:tr>
        <w:trPr/>
        <w:tc>
          <w:tcPr>
            <w:tcW w:w="1138" w:type="dxa"/>
            <w:vMerge w:val="continue"/>
            <w:tcBorders/>
          </w:tcPr>
          <w:p>
            <w:pPr>
              <w:pStyle w:val="Normal"/>
              <w:bidi w:val="0"/>
              <w:jc w:val="left"/>
              <w:rPr/>
            </w:pPr>
            <w:r>
              <w:rPr/>
            </w:r>
          </w:p>
        </w:tc>
        <w:tc>
          <w:tcPr>
            <w:tcW w:w="109" w:type="dxa"/>
            <w:tcBorders/>
            <w:vAlign w:val="bottom"/>
          </w:tcPr>
          <w:p>
            <w:pPr>
              <w:pStyle w:val="TableContents"/>
              <w:bidi w:val="0"/>
              <w:spacing w:before="0" w:after="283"/>
              <w:jc w:val="left"/>
              <w:rPr/>
            </w:pPr>
            <w:r>
              <w:rPr/>
              <w:t> </w:t>
            </w:r>
          </w:p>
        </w:tc>
        <w:tc>
          <w:tcPr>
            <w:tcW w:w="8958" w:type="dxa"/>
            <w:tcBorders/>
            <w:vAlign w:val="bottom"/>
          </w:tcPr>
          <w:p>
            <w:pPr>
              <w:pStyle w:val="TableContents"/>
              <w:bidi w:val="0"/>
              <w:spacing w:before="0" w:after="283"/>
              <w:jc w:val="left"/>
              <w:rPr/>
            </w:pPr>
            <w:r>
              <w:rPr/>
              <w:t>PRUDENTIAL TOWER</w:t>
            </w:r>
          </w:p>
        </w:tc>
      </w:tr>
      <w:tr>
        <w:trPr/>
        <w:tc>
          <w:tcPr>
            <w:tcW w:w="1138" w:type="dxa"/>
            <w:vMerge w:val="continue"/>
            <w:tcBorders/>
          </w:tcPr>
          <w:p>
            <w:pPr>
              <w:pStyle w:val="Normal"/>
              <w:bidi w:val="0"/>
              <w:jc w:val="left"/>
              <w:rPr/>
            </w:pPr>
            <w:r>
              <w:rPr/>
            </w:r>
          </w:p>
        </w:tc>
        <w:tc>
          <w:tcPr>
            <w:tcW w:w="109" w:type="dxa"/>
            <w:tcBorders/>
            <w:vAlign w:val="bottom"/>
          </w:tcPr>
          <w:p>
            <w:pPr>
              <w:pStyle w:val="TableContents"/>
              <w:bidi w:val="0"/>
              <w:spacing w:before="0" w:after="283"/>
              <w:jc w:val="left"/>
              <w:rPr/>
            </w:pPr>
            <w:r>
              <w:rPr/>
              <w:t> </w:t>
            </w:r>
          </w:p>
        </w:tc>
        <w:tc>
          <w:tcPr>
            <w:tcW w:w="8958" w:type="dxa"/>
            <w:tcBorders/>
            <w:vAlign w:val="bottom"/>
          </w:tcPr>
          <w:p>
            <w:pPr>
              <w:pStyle w:val="TableContents"/>
              <w:bidi w:val="0"/>
              <w:spacing w:before="0" w:after="283"/>
              <w:jc w:val="left"/>
              <w:rPr/>
            </w:pPr>
            <w:r>
              <w:rPr/>
              <w:t>800 BOYLSTON STREET</w:t>
            </w:r>
          </w:p>
        </w:tc>
      </w:tr>
      <w:tr>
        <w:trPr/>
        <w:tc>
          <w:tcPr>
            <w:tcW w:w="1138" w:type="dxa"/>
            <w:vMerge w:val="continue"/>
            <w:tcBorders/>
          </w:tcPr>
          <w:p>
            <w:pPr>
              <w:pStyle w:val="Normal"/>
              <w:bidi w:val="0"/>
              <w:jc w:val="left"/>
              <w:rPr/>
            </w:pPr>
            <w:r>
              <w:rPr/>
            </w:r>
          </w:p>
        </w:tc>
        <w:tc>
          <w:tcPr>
            <w:tcW w:w="109" w:type="dxa"/>
            <w:tcBorders/>
            <w:vAlign w:val="bottom"/>
          </w:tcPr>
          <w:p>
            <w:pPr>
              <w:pStyle w:val="TableContents"/>
              <w:bidi w:val="0"/>
              <w:spacing w:before="0" w:after="283"/>
              <w:jc w:val="left"/>
              <w:rPr/>
            </w:pPr>
            <w:r>
              <w:rPr/>
              <w:t> </w:t>
            </w:r>
          </w:p>
        </w:tc>
        <w:tc>
          <w:tcPr>
            <w:tcW w:w="8958" w:type="dxa"/>
            <w:tcBorders/>
            <w:vAlign w:val="bottom"/>
          </w:tcPr>
          <w:p>
            <w:pPr>
              <w:pStyle w:val="TableContents"/>
              <w:bidi w:val="0"/>
              <w:spacing w:before="0" w:after="283"/>
              <w:jc w:val="left"/>
              <w:rPr/>
            </w:pPr>
            <w:r>
              <w:rPr/>
              <w:t>BOSTON, MA 02199-3600</w:t>
            </w:r>
          </w:p>
        </w:tc>
      </w:tr>
      <w:tr>
        <w:trPr/>
        <w:tc>
          <w:tcPr>
            <w:tcW w:w="1138" w:type="dxa"/>
            <w:vMerge w:val="continue"/>
            <w:tcBorders/>
          </w:tcPr>
          <w:p>
            <w:pPr>
              <w:pStyle w:val="Normal"/>
              <w:bidi w:val="0"/>
              <w:jc w:val="left"/>
              <w:rPr/>
            </w:pPr>
            <w:r>
              <w:rPr/>
            </w:r>
          </w:p>
        </w:tc>
        <w:tc>
          <w:tcPr>
            <w:tcW w:w="109" w:type="dxa"/>
            <w:tcBorders/>
            <w:vAlign w:val="bottom"/>
          </w:tcPr>
          <w:p>
            <w:pPr>
              <w:pStyle w:val="TableContents"/>
              <w:bidi w:val="0"/>
              <w:spacing w:before="0" w:after="283"/>
              <w:jc w:val="left"/>
              <w:rPr/>
            </w:pPr>
            <w:r>
              <w:rPr/>
              <w:t> </w:t>
            </w:r>
          </w:p>
        </w:tc>
        <w:tc>
          <w:tcPr>
            <w:tcW w:w="8958" w:type="dxa"/>
            <w:tcBorders/>
            <w:vAlign w:val="bottom"/>
          </w:tcPr>
          <w:p>
            <w:pPr>
              <w:pStyle w:val="TableContents"/>
              <w:bidi w:val="0"/>
              <w:spacing w:before="0" w:after="283"/>
              <w:jc w:val="left"/>
              <w:rPr/>
            </w:pPr>
            <w:r>
              <w:rPr/>
              <w:t>WWW.ROPESGRAY.COM</w:t>
            </w:r>
          </w:p>
        </w:tc>
      </w:tr>
    </w:tbl>
    <w:p>
      <w:pPr>
        <w:pStyle w:val="TextBody"/>
        <w:bidi w:val="0"/>
        <w:spacing w:before="240" w:after="0"/>
        <w:jc w:val="center"/>
        <w:rPr>
          <w:rFonts w:ascii="Times New Roman" w:hAnsi="Times New Roman"/>
          <w:sz w:val="20"/>
        </w:rPr>
      </w:pPr>
      <w:r>
        <w:rPr>
          <w:rFonts w:ascii="Times New Roman" w:hAnsi="Times New Roman"/>
          <w:sz w:val="20"/>
        </w:rPr>
        <w:t xml:space="preserve">July 28, 2026 </w:t>
      </w:r>
    </w:p>
    <w:p>
      <w:pPr>
        <w:pStyle w:val="TextBody"/>
        <w:bidi w:val="0"/>
        <w:spacing w:before="240" w:after="0"/>
        <w:jc w:val="left"/>
        <w:rPr>
          <w:rFonts w:ascii="Times New Roman" w:hAnsi="Times New Roman"/>
          <w:sz w:val="20"/>
        </w:rPr>
      </w:pPr>
      <w:r>
        <w:rPr>
          <w:rFonts w:ascii="Times New Roman" w:hAnsi="Times New Roman"/>
          <w:sz w:val="20"/>
        </w:rPr>
        <w:t xml:space="preserve">Sarepta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215 First Street, Suite 415 </w:t>
      </w:r>
    </w:p>
    <w:p>
      <w:pPr>
        <w:pStyle w:val="TextBody"/>
        <w:bidi w:val="0"/>
        <w:spacing w:before="0" w:after="0"/>
        <w:jc w:val="left"/>
        <w:rPr>
          <w:rFonts w:ascii="Times New Roman" w:hAnsi="Times New Roman"/>
          <w:sz w:val="20"/>
        </w:rPr>
      </w:pPr>
      <w:r>
        <w:rPr>
          <w:rFonts w:ascii="Times New Roman" w:hAnsi="Times New Roman"/>
          <w:sz w:val="20"/>
        </w:rPr>
        <w:t xml:space="preserve">Cambridge, Massachusetts 02142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This opinion letter is furnished to you in connection with the registration statement on Form S-8 (the “</w:t>
      </w:r>
      <w:r>
        <w:rPr>
          <w:rFonts w:ascii="Times New Roman" w:hAnsi="Times New Roman"/>
          <w:sz w:val="20"/>
          <w:u w:val="single"/>
        </w:rPr>
        <w:t>Registration Statement</w:t>
      </w:r>
      <w:r>
        <w:rPr>
          <w:rFonts w:ascii="Times New Roman" w:hAnsi="Times New Roman"/>
          <w:sz w:val="20"/>
        </w:rPr>
        <w:t>”), filed by Sarepta Therapeutics, Inc., a Delaware corporation (the “</w:t>
      </w:r>
      <w:r>
        <w:rPr>
          <w:rFonts w:ascii="Times New Roman" w:hAnsi="Times New Roman"/>
          <w:sz w:val="20"/>
          <w:u w:val="single"/>
        </w:rPr>
        <w:t>Company</w:t>
      </w:r>
      <w:r>
        <w:rPr>
          <w:rFonts w:ascii="Times New Roman" w:hAnsi="Times New Roman"/>
          <w:sz w:val="20"/>
        </w:rPr>
        <w:t>”), on the date hereof, with the Securities and Exchange Commission under the Securities Act of 1933, as amended (the “</w:t>
      </w:r>
      <w:r>
        <w:rPr>
          <w:rFonts w:ascii="Times New Roman" w:hAnsi="Times New Roman"/>
          <w:sz w:val="20"/>
          <w:u w:val="single"/>
        </w:rPr>
        <w:t>Securities Act</w:t>
      </w:r>
      <w:r>
        <w:rPr>
          <w:rFonts w:ascii="Times New Roman" w:hAnsi="Times New Roman"/>
          <w:sz w:val="20"/>
        </w:rPr>
        <w:t>”), for the registration of 2,500,000 shares of common stock, $0.0001 par value, of the Company (the “</w:t>
      </w:r>
      <w:r>
        <w:rPr>
          <w:rFonts w:ascii="Times New Roman" w:hAnsi="Times New Roman"/>
          <w:sz w:val="20"/>
          <w:u w:val="single"/>
        </w:rPr>
        <w:t>Shares</w:t>
      </w:r>
      <w:r>
        <w:rPr>
          <w:rFonts w:ascii="Times New Roman" w:hAnsi="Times New Roman"/>
          <w:sz w:val="20"/>
        </w:rPr>
        <w:t>”). The Shares are issuable under the Company’s 2024 Employment Commencement Incentive Plan, as amended (the “</w:t>
      </w:r>
      <w:r>
        <w:rPr>
          <w:rFonts w:ascii="Times New Roman" w:hAnsi="Times New Roman"/>
          <w:sz w:val="20"/>
          <w:u w:val="single"/>
        </w:rPr>
        <w:t>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are familiar with the actions taken by the Company in connection with the adoption of the Plan. We have examined such certificates, documents and records and have made such investigation of fact and such examination of law as we have deemed appropriate in order to enable us to render the opinions set forth herein. In conducting such investigation, we have relied, without independent verification, upon certificates of officers of the Company, public officials and other appropriate persons. </w:t>
      </w:r>
    </w:p>
    <w:p>
      <w:pPr>
        <w:pStyle w:val="TextBody"/>
        <w:bidi w:val="0"/>
        <w:spacing w:before="240" w:after="0"/>
        <w:jc w:val="left"/>
        <w:rPr>
          <w:rFonts w:ascii="Times New Roman" w:hAnsi="Times New Roman"/>
          <w:sz w:val="20"/>
        </w:rPr>
      </w:pPr>
      <w:r>
        <w:rPr>
          <w:rFonts w:ascii="Times New Roman" w:hAnsi="Times New Roman"/>
          <w:sz w:val="20"/>
        </w:rPr>
        <w:t xml:space="preserve">The opinions expressed below are limited to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we are of the opinion that the Shares have been duly authorized and, when the Shares have been issued and sold in accordance with the terms of the Plan, the Shares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letter as an exhibit to the Registration Statement. In giving such consent, we do not thereby admit that we are in the category of persons whose consent is required under Section 7 of the Securities Act or the rules and regulations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Ropes &amp; Gray LLP</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Ropes &amp; Gray LLP</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bookmarkStart w:id="9" w:name="d165682dex232.htm"/>
      <w:bookmarkStart w:id="10" w:name="ksd165682dex232"/>
      <w:bookmarkEnd w:id="9"/>
      <w:bookmarkEnd w:id="10"/>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our report dated March 2, 2026, with respect to the consolidated financial statements of Sarepta Therapeutics, Inc., and the effectiveness of internal control over financial reporting,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806"/>
        <w:gridCol w:w="101"/>
        <w:gridCol w:w="408"/>
        <w:gridCol w:w="60"/>
        <w:gridCol w:w="23"/>
        <w:gridCol w:w="101"/>
        <w:gridCol w:w="4706"/>
      </w:tblGrid>
      <w:tr>
        <w:trPr/>
        <w:tc>
          <w:tcPr>
            <w:tcW w:w="48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8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6" w:type="dxa"/>
            <w:tcBorders/>
          </w:tcPr>
          <w:p>
            <w:pPr>
              <w:pStyle w:val="TableContents"/>
              <w:bidi w:val="0"/>
              <w:spacing w:before="0" w:after="283"/>
              <w:jc w:val="left"/>
              <w:rPr/>
            </w:pPr>
            <w:r>
              <w:rPr/>
              <w:t>/s/ KPMG LLP</w:t>
            </w:r>
          </w:p>
        </w:tc>
      </w:tr>
      <w:tr>
        <w:trPr>
          <w:trHeight w:val="240" w:hRule="atLeast"/>
        </w:trPr>
        <w:tc>
          <w:tcPr>
            <w:tcW w:w="4806"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807" w:type="dxa"/>
            <w:gridSpan w:val="2"/>
            <w:tcBorders/>
            <w:vAlign w:val="center"/>
          </w:tcPr>
          <w:p>
            <w:pPr>
              <w:pStyle w:val="TableContents"/>
              <w:bidi w:val="0"/>
              <w:spacing w:before="0" w:after="283"/>
              <w:jc w:val="left"/>
              <w:rPr>
                <w:sz w:val="4"/>
                <w:szCs w:val="4"/>
              </w:rPr>
            </w:pPr>
            <w:r>
              <w:rPr>
                <w:sz w:val="4"/>
                <w:szCs w:val="4"/>
              </w:rPr>
            </w:r>
          </w:p>
        </w:tc>
      </w:tr>
      <w:tr>
        <w:trPr/>
        <w:tc>
          <w:tcPr>
            <w:tcW w:w="4806" w:type="dxa"/>
            <w:tcBorders/>
          </w:tcPr>
          <w:p>
            <w:pPr>
              <w:pStyle w:val="TableContents"/>
              <w:bidi w:val="0"/>
              <w:spacing w:before="0" w:after="283"/>
              <w:jc w:val="left"/>
              <w:rPr/>
            </w:pPr>
            <w:r>
              <w:rPr/>
              <w:t>Boston, Massachusetts</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6" w:type="dxa"/>
            <w:tcBorders/>
          </w:tcPr>
          <w:p>
            <w:pPr>
              <w:pStyle w:val="TableContents"/>
              <w:bidi w:val="0"/>
              <w:spacing w:before="0" w:after="283"/>
              <w:jc w:val="left"/>
              <w:rPr>
                <w:sz w:val="4"/>
                <w:szCs w:val="4"/>
              </w:rPr>
            </w:pPr>
            <w:r>
              <w:rPr>
                <w:sz w:val="4"/>
                <w:szCs w:val="4"/>
              </w:rPr>
            </w:r>
          </w:p>
        </w:tc>
      </w:tr>
      <w:tr>
        <w:trPr/>
        <w:tc>
          <w:tcPr>
            <w:tcW w:w="4806" w:type="dxa"/>
            <w:tcBorders/>
          </w:tcPr>
          <w:p>
            <w:pPr>
              <w:pStyle w:val="TableContents"/>
              <w:bidi w:val="0"/>
              <w:spacing w:before="0" w:after="283"/>
              <w:jc w:val="left"/>
              <w:rPr/>
            </w:pPr>
            <w:r>
              <w:rPr/>
              <w:t>July 28, 2026</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6" w:type="dxa"/>
            <w:tcBorders/>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bookmarkStart w:id="11" w:name="d165682dexfilingfees.htm"/>
      <w:bookmarkStart w:id="12" w:name="ksd165682dexfilingfees"/>
      <w:bookmarkStart w:id="13" w:name="d165682dexfilingfees.htm"/>
      <w:bookmarkStart w:id="14" w:name="ksd165682dexfilingfees"/>
      <w:bookmarkEnd w:id="13"/>
      <w:bookmarkEnd w:id="14"/>
      <w:r>
        <w:br w:type="page"/>
      </w:r>
    </w:p>
    <w:tbl>
      <w:tblPr>
        <w:tblW w:w="3577" w:type="dxa"/>
        <w:jc w:val="left"/>
        <w:tblInd w:w="0" w:type="dxa"/>
        <w:tblLayout w:type="fixed"/>
        <w:tblCellMar>
          <w:top w:w="28" w:type="dxa"/>
          <w:left w:w="28" w:type="dxa"/>
          <w:bottom w:w="28" w:type="dxa"/>
          <w:right w:w="28" w:type="dxa"/>
        </w:tblCellMar>
      </w:tblPr>
      <w:tblGrid>
        <w:gridCol w:w="3423"/>
        <w:gridCol w:w="154"/>
      </w:tblGrid>
      <w:tr>
        <w:trPr/>
        <w:tc>
          <w:tcPr>
            <w:tcW w:w="357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3"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3" w:type="dxa"/>
            <w:tcBorders/>
            <w:vAlign w:val="center"/>
          </w:tcPr>
          <w:p>
            <w:pPr>
              <w:pStyle w:val="TableContents"/>
              <w:bidi w:val="0"/>
              <w:spacing w:before="0" w:after="283"/>
              <w:jc w:val="left"/>
              <w:rPr>
                <w:b/>
              </w:rPr>
            </w:pPr>
            <w:r>
              <w:rPr>
                <w:b/>
              </w:rPr>
              <w:t xml:space="preserve">Sarepta Therapeutics,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6"/>
        <w:gridCol w:w="1046"/>
        <w:gridCol w:w="1292"/>
        <w:gridCol w:w="1201"/>
        <w:gridCol w:w="1213"/>
        <w:gridCol w:w="1701"/>
        <w:gridCol w:w="1126"/>
        <w:gridCol w:w="1429"/>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2"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1"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3"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1"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9"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6" w:type="dxa"/>
            <w:tcBorders/>
            <w:shd w:fill="E7E7E2" w:val="clear"/>
            <w:vAlign w:val="center"/>
          </w:tcPr>
          <w:p>
            <w:pPr>
              <w:pStyle w:val="TableContents"/>
              <w:bidi w:val="0"/>
              <w:spacing w:before="0" w:after="283"/>
              <w:jc w:val="left"/>
              <w:rPr/>
            </w:pPr>
            <w:r>
              <w:rPr/>
              <w:t xml:space="preserve">Equity </w:t>
            </w:r>
          </w:p>
        </w:tc>
        <w:tc>
          <w:tcPr>
            <w:tcW w:w="1046" w:type="dxa"/>
            <w:tcBorders/>
            <w:shd w:fill="E7E7E2" w:val="clear"/>
            <w:vAlign w:val="center"/>
          </w:tcPr>
          <w:p>
            <w:pPr>
              <w:pStyle w:val="TableContents"/>
              <w:bidi w:val="0"/>
              <w:spacing w:before="0" w:after="283"/>
              <w:jc w:val="left"/>
              <w:rPr/>
            </w:pPr>
            <w:r>
              <w:rPr/>
              <w:t xml:space="preserve">Common Stock, par value $0.0001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2,500,000 </w:t>
            </w:r>
          </w:p>
        </w:tc>
        <w:tc>
          <w:tcPr>
            <w:tcW w:w="1213" w:type="dxa"/>
            <w:tcBorders/>
            <w:shd w:fill="E7E7E2" w:val="clear"/>
            <w:vAlign w:val="center"/>
          </w:tcPr>
          <w:p>
            <w:pPr>
              <w:pStyle w:val="TableContents"/>
              <w:bidi w:val="0"/>
              <w:spacing w:before="0" w:after="283"/>
              <w:jc w:val="right"/>
              <w:rPr/>
            </w:pPr>
            <w:r>
              <w:rPr/>
              <w:t xml:space="preserve">$ 15.73 </w:t>
            </w:r>
          </w:p>
        </w:tc>
        <w:tc>
          <w:tcPr>
            <w:tcW w:w="1701" w:type="dxa"/>
            <w:tcBorders/>
            <w:shd w:fill="E7E7E2" w:val="clear"/>
            <w:vAlign w:val="center"/>
          </w:tcPr>
          <w:p>
            <w:pPr>
              <w:pStyle w:val="TableContents"/>
              <w:bidi w:val="0"/>
              <w:spacing w:before="0" w:after="283"/>
              <w:jc w:val="right"/>
              <w:rPr/>
            </w:pPr>
            <w:r>
              <w:rPr/>
              <w:t xml:space="preserve">$ 39,325,000.00 </w:t>
            </w:r>
          </w:p>
        </w:tc>
        <w:tc>
          <w:tcPr>
            <w:tcW w:w="1126" w:type="dxa"/>
            <w:tcBorders/>
            <w:shd w:fill="E7E7E2" w:val="clear"/>
            <w:vAlign w:val="center"/>
          </w:tcPr>
          <w:p>
            <w:pPr>
              <w:pStyle w:val="TableContents"/>
              <w:bidi w:val="0"/>
              <w:spacing w:before="0" w:after="283"/>
              <w:jc w:val="right"/>
              <w:rPr/>
            </w:pPr>
            <w:r>
              <w:rPr/>
              <w:t xml:space="preserve">0.0001381 </w:t>
            </w:r>
          </w:p>
        </w:tc>
        <w:tc>
          <w:tcPr>
            <w:tcW w:w="1429" w:type="dxa"/>
            <w:tcBorders/>
            <w:shd w:fill="E7E7E2" w:val="clear"/>
            <w:vAlign w:val="center"/>
          </w:tcPr>
          <w:p>
            <w:pPr>
              <w:pStyle w:val="TableContents"/>
              <w:bidi w:val="0"/>
              <w:spacing w:before="0" w:after="283"/>
              <w:jc w:val="right"/>
              <w:rPr/>
            </w:pPr>
            <w:r>
              <w:rPr/>
              <w:t xml:space="preserve">$ 5,430.79 </w:t>
            </w:r>
          </w:p>
        </w:tc>
      </w:tr>
      <w:tr>
        <w:trPr/>
        <w:tc>
          <w:tcPr>
            <w:tcW w:w="4736" w:type="dxa"/>
            <w:gridSpan w:val="5"/>
            <w:tcBorders/>
            <w:vAlign w:val="center"/>
          </w:tcPr>
          <w:p>
            <w:pPr>
              <w:pStyle w:val="TableContents"/>
              <w:bidi w:val="0"/>
              <w:spacing w:before="0" w:after="0"/>
              <w:ind w:left="0" w:right="0" w:hanging="0"/>
              <w:jc w:val="right"/>
              <w:rPr/>
            </w:pPr>
            <w:r>
              <w:rPr/>
              <w:t>Total Offering Amounts:</w:t>
            </w:r>
          </w:p>
        </w:tc>
        <w:tc>
          <w:tcPr>
            <w:tcW w:w="1213"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0"/>
              <w:ind w:left="0" w:right="0" w:hanging="0"/>
              <w:jc w:val="right"/>
              <w:rPr/>
            </w:pPr>
            <w:bookmarkStart w:id="15" w:name="MaxAggtOfferingPrice"/>
            <w:bookmarkEnd w:id="15"/>
            <w:r>
              <w:rPr/>
              <w:t xml:space="preserve">$ 39,325,000.00 </w:t>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6" w:name="TotalFeeAmt"/>
            <w:bookmarkEnd w:id="16"/>
            <w:r>
              <w:rPr/>
              <w:t xml:space="preserve">$ 5,430.79 </w:t>
            </w:r>
          </w:p>
        </w:tc>
      </w:tr>
      <w:tr>
        <w:trPr/>
        <w:tc>
          <w:tcPr>
            <w:tcW w:w="4736" w:type="dxa"/>
            <w:gridSpan w:val="5"/>
            <w:tcBorders/>
            <w:vAlign w:val="center"/>
          </w:tcPr>
          <w:p>
            <w:pPr>
              <w:pStyle w:val="TableContents"/>
              <w:bidi w:val="0"/>
              <w:spacing w:before="0" w:after="0"/>
              <w:ind w:left="0" w:right="0" w:hanging="0"/>
              <w:jc w:val="right"/>
              <w:rPr/>
            </w:pPr>
            <w:r>
              <w:rPr/>
              <w:t xml:space="preserve">Total Fee Offsets: </w:t>
            </w:r>
          </w:p>
        </w:tc>
        <w:tc>
          <w:tcPr>
            <w:tcW w:w="1213"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17" w:name="TotalOffsetAmt"/>
            <w:bookmarkEnd w:id="17"/>
            <w:r>
              <w:rPr/>
              <w:t xml:space="preserve">$ 0.00 </w:t>
            </w:r>
          </w:p>
        </w:tc>
      </w:tr>
      <w:tr>
        <w:trPr/>
        <w:tc>
          <w:tcPr>
            <w:tcW w:w="4736" w:type="dxa"/>
            <w:gridSpan w:val="5"/>
            <w:tcBorders/>
            <w:vAlign w:val="center"/>
          </w:tcPr>
          <w:p>
            <w:pPr>
              <w:pStyle w:val="TableContents"/>
              <w:bidi w:val="0"/>
              <w:spacing w:before="0" w:after="0"/>
              <w:ind w:left="0" w:right="0" w:hanging="0"/>
              <w:jc w:val="right"/>
              <w:rPr/>
            </w:pPr>
            <w:r>
              <w:rPr/>
              <w:t xml:space="preserve">Net Fee Due: </w:t>
            </w:r>
          </w:p>
        </w:tc>
        <w:tc>
          <w:tcPr>
            <w:tcW w:w="1213"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18" w:name="NetFeeAmt"/>
            <w:bookmarkEnd w:id="18"/>
            <w:r>
              <w:rPr/>
              <w:t xml:space="preserve">$ 5,430.79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7"/>
        <w:gridCol w:w="8706"/>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(1) Pursuant to Rule 416(a) under the Securities Act of 1933, as amended, this Registration Statement on Form S-8 shall also cover shares of the Registrant's common stock that become issuable under the Registrant's 2024 Employment Commencement Incentive Plan, as amended (the "Plan"), to prevent dilution as a result of any stock dividend, stock split, recapitalization or similar transaction. (2) Represents 2,500,000 shares of common stock reserved for future issuance under the Plan. (3) Estimated solely for the purpose of determining the registration fee pursuant to Rule 457(c) and 457(h) under the Securities Act, the "proposed maximum offering price per share" is calculated based on the average of the high and low prices for the Registrant's common stock as reported on the Nasdaq Global Select Market on July 23, 2026.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873303/000119312524195944/d881385ds8.htm" TargetMode="External"/><Relationship Id="rId3" Type="http://schemas.openxmlformats.org/officeDocument/2006/relationships/hyperlink" Target="http://www.sec.gov/Archives/edgar/data/873303/000119312524080624/d793712ds8pos.htm" TargetMode="External"/><Relationship Id="rId4" Type="http://schemas.openxmlformats.org/officeDocument/2006/relationships/hyperlink" Target="http://www.sec.gov/Archives/edgar/data/873303/000119312524080633/d793712ds8pos.htm" TargetMode="External"/><Relationship Id="rId5" Type="http://schemas.openxmlformats.org/officeDocument/2006/relationships/hyperlink" Target="http://www.sec.gov/Archives/edgar/data/873303/000119312524080636/d793712ds8pos.htm" TargetMode="External"/><Relationship Id="rId6" Type="http://schemas.openxmlformats.org/officeDocument/2006/relationships/hyperlink" Target="http://www.sec.gov/Archives/edgar/data/873303/000119312524080645/d793712ds8pos.htm" TargetMode="External"/><Relationship Id="rId7" Type="http://schemas.openxmlformats.org/officeDocument/2006/relationships/hyperlink" Target="http://www.sec.gov/Archives/edgar/data/873303/000119312524080645/d793712dex45.htm" TargetMode="External"/><Relationship Id="rId8" Type="http://schemas.openxmlformats.org/officeDocument/2006/relationships/hyperlink" Target="http://www.sec.gov/Archives/edgar/data/873303/000119312524157458/d810236dex101.htm" TargetMode="External"/><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2510</Words>
  <Characters>13442</Characters>
  <CharactersWithSpaces>16092</CharactersWithSpaces>
  <Paragraphs>405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