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SEVERINO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215 FIRST STREET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Sarepta Therapeutics, Inc.</w:t>
              </w:r>
            </w:hyperlink>
            <w:r>
              <w:rPr/>
              <w:t xml:space="preserve"> [ </w:t>
            </w:r>
            <w:r>
              <w:rPr>
                <w:rFonts w:ascii="Times;serif" w:hAnsi="Times;serif"/>
                <w:color w:val="0000FF"/>
                <w:sz w:val="24"/>
                <w:shd w:fill="FFFFFF" w:val="clear"/>
              </w:rPr>
              <w:t>SRPT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756,104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756,104</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2,224,342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07/28/2027</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2,224,342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2,224,342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Each RSU represents the right to receive one share of common stock. The RSUs will vest in substantially equal installments on an annual basis over four years from the date of grant,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date upon which the first twenty-five percent of the option granted vests. 1/48th of the total granted option vests and becomes exercisable on each monthly anniversary thereafter, subject to the Reporting Person's continued employment.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Cristin L. Rothfuss, as Attorney-in-Fact for Michael Severino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9447" TargetMode="External"/><Relationship Id="rId5" Type="http://schemas.openxmlformats.org/officeDocument/2006/relationships/hyperlink" Target="http://www.sec.gov/cgi-bin/browse-edgar?action=getcompany&amp;CIK=0000873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3670</Characters>
  <CharactersWithSpaces>4259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